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302 vom 9. April 2021</w:t>
      </w:r>
    </w:p>
    <w:p>
      <w:r>
        <w:t>VD Tribunal cantonal, 2021-04-09, FR</w:t>
      </w:r>
    </w:p>
    <w:p>
      <w:r>
        <w:rPr>
          <w:b/>
        </w:rPr>
        <w:t xml:space="preserve">Quelle: </w:t>
      </w:r>
      <w:r>
        <w:t>https://mcp.opencaselaw.ch/entscheid/vd_findinfo_D_cision___2021___302</w:t>
      </w:r>
    </w:p>
    <w:p>
      <w:r>
        <w:t>FR: VD_FINDINFO Décision / 2021 / 302 du 9 avril 2021</w:t>
      </w:r>
    </w:p>
    <w:p>
      <w:r>
        <w:t>IT: VD_FINDINFO Décision / 2021 / 302 del 9 aprile 2021</w:t>
      </w:r>
    </w:p>
    <w:p>
      <w:pPr>
        <w:pStyle w:val="Heading2"/>
      </w:pPr>
      <w:r>
        <w:t>Regeste</w:t>
      </w:r>
    </w:p>
    <w:p>
      <w:r>
        <w:t>RISQUE DE COLLUSION, DÉTENTION PROVISOIRE, ALARME | 221 al. 1 let. b CPP (CH)</w:t>
      </w:r>
    </w:p>
    <w:p>
      <w:pPr>
        <w:pStyle w:val="Heading2"/>
      </w:pPr>
      <w:r>
        <w:t>Erwägungen</w:t>
      </w:r>
    </w:p>
    <w:p>
      <w:r>
        <w:rPr>
          <w:b/>
        </w:rPr>
        <w:t>E. 1</w:t>
      </w:r>
    </w:p>
    <w:p>
      <w:r>
        <w:t>Interjeté dans le délai légal (art. 396 al. 1 CPP)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JdT 2018 IV 39; ATF 143 IV 316 consid. 3.2; TF 1B_139/2020 du 15 avril 2020 consid. 3.1; TF 1B_219/2019 du 4 juin 2019 consid. 2.1). A l'instar du juge du séquestre, le juge de la détention n'est toutefois pas tenu, à ce stade de la procédure, de résoudre des questions juridiques complexes (ATF 143 IV 330 précité; ATF 141 IV 360 consid. 3.2).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précité; ATF 137 IV 122 consid. 3.2; ATF 124 I 208 consid. 3; TF 1B_479/2020 du 17 novembre 2020 consid. 3.1).</w:t>
      </w:r>
    </w:p>
    <w:p>
      <w:r>
        <w:rPr>
          <w:b/>
        </w:rPr>
        <w:t>E. 3.1</w:t>
      </w:r>
    </w:p>
    <w:p>
      <w:r>
        <w:t>En l’espèce, le recourant conteste, en bref, que les risques de collusion et de réitération soient réalisés. Ensuite, il fait valoir que la prolongation de sa détention viole le principe de la proportionnalité. Enfin, il soutient que la procédure est marquée par des irrégularités qui rendent des actes de procédure inexploitables, ce qui commanderait sa libération immédiate.</w:t>
      </w:r>
    </w:p>
    <w:p>
      <w:r>
        <w:rPr>
          <w:b/>
        </w:rPr>
        <w:t>E. 3.2</w:t>
      </w:r>
    </w:p>
    <w:p>
      <w:r>
        <w:t>Selon l’art. 128 bis CP, celui qui, sciemment et sans raison, aura alerté les services de sécurité publics ou d’intérêt général, les postes de sauvetage ou de secours, notamment la police, les pompiers ou les services sanitaires, sera puni d’une peine privative de liberté de trois ans au plus ou d’une peine pécuniaire. Conformément à l’art. 258 CP, celui aura jeté l’alarme dans la population par la menace ou l’annonce fallacieuse d’un danger pour la vie, la santé ou la propriété sera puni d’une peine privative de liberté de trois ans au plus ou d’une peine pécuniaire.</w:t>
      </w:r>
    </w:p>
    <w:p>
      <w:r>
        <w:rPr>
          <w:b/>
        </w:rPr>
        <w:t>E. 3.3</w:t>
      </w:r>
    </w:p>
    <w:p>
      <w:r>
        <w:t>Le recourant reconnaît avoir rédigé le message du 24 mars 2021, dont la teneur a déjà été indiquée, mais il nie l’avoir déposé dans les toilettes des filles de l’EPCL. En outre, il conteste être impliqué dans toutes les autres alertes à la bombe qui sont survenues, dans cette école ou dans d’autres établissements, en particulier le 27 janvier 2021, le 19 février 2021, ainsi que les 11 et 19 mars 2021. En l’espèce, il existe une présomption suffisante de culpabilité à l’égard du prévenu. En effet, l’intéressé a admis avoir rédigé le billet du 24 mars 2021, même si son implication dans la pose de celui-ci dans les toilettes des filles est encore incertaine. Il nie y avoir participé, mais notamment son camarade de classe [...] indique qu’il serait sorti avec [...] qui lui aurait indiqué où placer ce mot (PV aud. du 1 er avril 2021, R. 6, mentionné dans le procès-verbal des opérations de l’enquête PE21.001664). [...], autre camarade de classe, prétend également qu’N.________ se serait vanté d’avoir déposé un ou d’autres billets d’alerte incriminés (PV aud. du 25 mars 2021, R. 5, 14 et 15). Même si le recourant affirme qu’il ne pouvait pas avoir commis d’autres fausses alertes faute d’avoir alors été sur les lieux des faits, qu’il a produit des pièces à cet égard durant l’enquête et qu’une alerte est survenue au moment même où il était appréhendé, son emploi du temps doit encore être vérifié en relation avec toutes les alertes en cause. Au demeurant, même en ne tenant compte que des faits du 24 mars 2021, des soupçons suffisants sont réalisés en raison des seuls aveux du prévenu, même partiels, mais qui sont corroborés par des camarades de classe. La condition préalable à la détention provisoire est dès lors réalisée.</w:t>
      </w:r>
    </w:p>
    <w:p>
      <w:r>
        <w:rPr>
          <w:b/>
        </w:rPr>
        <w:t>E. 4.1</w:t>
      </w:r>
    </w:p>
    <w:p>
      <w:r>
        <w:t>Le recourant conteste l’existence d’un risque de collusion, soutenant en substance que toutes les opérations d’enquête ont été menées.</w:t>
      </w:r>
    </w:p>
    <w:p>
      <w:r>
        <w:rPr>
          <w:b/>
        </w:rPr>
        <w:t>E. 4.2</w:t>
      </w:r>
    </w:p>
    <w:p>
      <w:r>
        <w:t>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TF 1B_536/2018 du 21 décembre 2018 consid. 5.1). Plus l'instruction se trouve à un stade avancé et les faits sont établis avec précision, plus les exigences relatives à la preuve de l'existence d'un risque de collusion sont élevées (ATF 137 IV 122 consid. 4.2; ATF 132 I 21 consid. 3.2.2; TF 1B_536/2018 du 21 décembre 2018 consid. 5.1).</w:t>
      </w:r>
    </w:p>
    <w:p>
      <w:r>
        <w:rPr>
          <w:b/>
        </w:rPr>
        <w:t>E. 4.3</w:t>
      </w:r>
    </w:p>
    <w:p>
      <w:r>
        <w:t>Au moment où le Tribunal des mesures de contrainte a statué, l’enquête en était à ses prémisses et de nombreuses vérifications devaient être encore réalisées. Depuis lors, l’enquête s’est poursuivie sans désemparer. En particulier, [...] a été entendu et placé également en détention le 1 er avril 2021. Des tests ADN ont été effectués. Toutefois, leurs résultats doivent encore être confrontés aux traces génétiques susceptibles de figurer sur les billets trouvés lors d’autres incidents analogues à celui du 24 mars 2021. Des extractions des téléphones portables utilisés par différents élèves fréquentant les établissements en cause ont également été entreprises et les données qui en sont issues doivent être analysées. Surtout, il y a encore lieu, en l’état, d’empêcher le prévenu de pouvoir communiquer avec ses camarades de classe (pour certains co-prévenus), voire avec des tiers, leurs versions des faits étant en contradiction sur des points importants, que ce soit quant aux faits du 24 mars 2021 mais également s’agissant de l’inscription retrouvée sur le bloc-notes de [...], voire de l’implication éventuelle du prévenu dans d’autres alertes. Dans ces circonstances, le risque de collusion est encore concret.</w:t>
      </w:r>
    </w:p>
    <w:p>
      <w:r>
        <w:rPr>
          <w:b/>
        </w:rPr>
        <w:t>E. 4.4</w:t>
      </w:r>
    </w:p>
    <w:p>
      <w:r>
        <w:t>Pour le surplus, le recourant conteste, comme déjà relevé, qu’un risque de réitération soit réalisé. Le Tribunal des mesures de contrainte a laissé la question ouverte. Les motifs fondant la détention provisoire étant alternatifs (TF 1B_249/2011 du 7 juin 2011 consid. 2.4; Chaix, op. cit., n. 2 ad art. 221 CPP), l’existence du risque de collusion, réalisé pour les motifs exposés au considérant ci-dessus, dispense d’examiner si la détention s’impose également en raison du risque de réitération, aussi invoqué par le Ministère public.</w:t>
      </w:r>
    </w:p>
    <w:p>
      <w:r>
        <w:rPr>
          <w:b/>
        </w:rPr>
        <w:t>E. 5.1</w:t>
      </w:r>
    </w:p>
    <w:p>
      <w:r>
        <w:t>Le recourant fait valoir que la détention ordonnée ne respecte pas le principe de proportionnalité.</w:t>
      </w:r>
    </w:p>
    <w:p>
      <w:r>
        <w:rPr>
          <w:b/>
        </w:rPr>
        <w:t>E. 5.2.1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 Il convient d'accorder une attention particulière à cette limite, car le juge de première instance ou d'appel pourrait être enclin à prendre en considération dans la fixation de la peine la durée de la détention avant jugement à imputer selon l'art. 51 CP (ATF 139 IV 270 consid. 3.1 p. 275 et la référence citée; TF 1B_11/2020 du 23 janvier 2020 consid. 4.1).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consid. 3.5; TF 1B_250/2019 du 14 juin 2019 consid. 5.1).</w:t>
      </w:r>
    </w:p>
    <w:p>
      <w:r>
        <w:rPr>
          <w:b/>
        </w:rPr>
        <w:t>E. 5.2.2</w:t>
      </w:r>
    </w:p>
    <w:p>
      <w:r>
        <w:t>En vertu du principe de la proportionnalité ancré à l'art. 36 al. 3 Cst., l'autorité doit tenter autant que possible de substituer à la détention toute autre mesure moins incisive propre à atteindre le même résultat (ATF 142 IV 367 consid. 2.1, SJ 2017 I 233;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w:t>
      </w:r>
    </w:p>
    <w:p>
      <w:r>
        <w:rPr>
          <w:b/>
        </w:rPr>
        <w:t>E. 5.3</w:t>
      </w:r>
    </w:p>
    <w:p>
      <w:r>
        <w:t>Certes, le recourant est jeune. Certes également, il pourrait, finalement, n’être impliqué que dans les faits du 24 mars 2021. Il n’en demeure pas moins que ceux-ci sont graves et qu’ils ont été commis après qu’un nombre important de messages menaçant du déclenchement d’une bombe ont été trouvés dans divers établissements scolaires. Dans ces circonstances, la durée de la détention est proportionnée à la peine qui pourrait être concrètement prononcée, même dans l’hypothèse la plus favorable au prévenu.</w:t>
      </w:r>
    </w:p>
    <w:p>
      <w:r>
        <w:rPr>
          <w:b/>
        </w:rPr>
        <w:t>E. 5.4.1</w:t>
      </w:r>
    </w:p>
    <w:p>
      <w:r>
        <w:t>Il reste à examiner dès lors si des éventuelles mesures de substitution à la détention provisoire peuvent être ordonnées.</w:t>
      </w:r>
    </w:p>
    <w:p>
      <w:r>
        <w:rPr>
          <w:b/>
        </w:rPr>
        <w:t>E. 5.4.2</w:t>
      </w:r>
    </w:p>
    <w:p>
      <w:r>
        <w:t>Le recourant soutient que les mesures de substitution qu’il demande sont de nature à pallier le risque de collusion retenu par le premier juge, à savoir son assignation à résidence, assortie d’une interdiction de contacter [...], [...] et [...].</w:t>
      </w:r>
    </w:p>
    <w:p>
      <w:r>
        <w:rPr>
          <w:b/>
        </w:rPr>
        <w:t>E. 5.4.3</w:t>
      </w:r>
    </w:p>
    <w:p>
      <w:r>
        <w:t>Des mesures de substitution et notamment celles proposées par la défense, ne sont, en l’état, pas propres à pallier le risque retenu. Il s’agit en effet d’engagements du recourant de ne pas prendre contact avec trois de ses camarades de classe, dont il paraît impossible de s’assurer du respect au vu notamment de l’usage de moyens de communication électroniques divers. Au surplus, outre le caractère difficilement contrôlable de cette mesure, un tel engagement n’empêcherait pas le prévenu de contacter d’autres personnes éventuellement impliquées. Une assignation à résidence n’est pas non plus de nature à prévenir ce danger, sachant qu’il serait facile de s’y soustraire, et qu’une telle assignation n’empêcherait au demeurant pas le recourant de communiquer avec des tiers.</w:t>
      </w:r>
    </w:p>
    <w:p>
      <w:r>
        <w:rPr>
          <w:b/>
        </w:rPr>
        <w:t>E. 6</w:t>
      </w:r>
    </w:p>
    <w:p>
      <w:r>
        <w:t>Le recourant fait valoir que la procédure est empreinte de nombreuses irrégularités qui rendraient la détention illégale. On ne discerne pas de violation du principe de célérité consacré à l’art. 5 CPP, dès lors que le prévenu a été déféré devant le Tribunal des mesures de contrainte dans le délai de l’art. 224 al. 2 CPP, soit dans les 48 heures à compter de son arrestation. Du reste, même si une telle violation devait être constatée, elle n’entraînerait pas la mise en liberté du prévenu. Par ailleurs, même s'il fallait ne pas tenir compte de la première audition de police de l’intéressé, lors de laquelle il n’a pas été assisté d’un défenseur d’office, ou de celle d’[...], les éléments au dossier seraient suffisants pour prononcer la détention provisoire du prévenu, les conditions de l’art. 221 CPP étant réalisées, comme déjà relevé.</w:t>
      </w:r>
    </w:p>
    <w:p>
      <w:r>
        <w:rPr>
          <w:b/>
        </w:rPr>
        <w:t>E. 7</w:t>
      </w:r>
    </w:p>
    <w:p>
      <w:r>
        <w:t>Il résulte de ce qui précède que le recours, manifestement mal fondé, doit être rejeté sans échange d’écritures (art. 390 al. 2 CPP), et l’ordonnance du 27 mars 2021 confirmée. Les frais de la procédure de recours, par 1’100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(pour trois heures d’activité d’avocat à 180 fr. l’heure), des débours forfaitaires par 10 fr. 80 (cf. art. 26b TFIP qui renvoie à l'art. 3 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27 mars 2021 est confirmée. III. L’indemnité allouée au défenseur d’office d’N.________ est fixée à 594 fr. (cinq cent nonante-quatre francs). IV. Les frais d’arrêt, par 1’100 fr. (mille cent francs), ainsi que l’indemnité due au défenseur d’office d’N.________, par 594 fr. (cinq cent nonante-quatre francs), sont mis à la charge de ce dernier. V. Le remboursement à l'Etat de l'indemnité allouée au chiffre III ci-dessus ne sera exigible que pour autant que la situation financière d’N.________ le permette. VI. L’arrêt est exécutoire. Le président :               Le greffier : Du Le présent arrêt, dont la rédaction a été approuvée à huis clos, est notifié, par l'envoi d'une copie complète, à : - Me Amir Djafarrian, avocat (pour N.________), - Ministère public central, et communiqué à : - Mme la Présidente du Tribunal des mesures de contrainte, - M. le Procureur du Ministère public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