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299 vom 7. April 2021</w:t>
      </w:r>
    </w:p>
    <w:p>
      <w:r>
        <w:t>VD Tribunal cantonal, 2021-04-07, FR</w:t>
      </w:r>
    </w:p>
    <w:p>
      <w:r>
        <w:rPr>
          <w:b/>
        </w:rPr>
        <w:t xml:space="preserve">Quelle: </w:t>
      </w:r>
      <w:r>
        <w:t>https://mcp.opencaselaw.ch/entscheid/vd_findinfo_D_cision___2021___299</w:t>
      </w:r>
    </w:p>
    <w:p>
      <w:r>
        <w:t>FR: VD_FINDINFO Décision / 2021 / 299 du 7 avril 2021</w:t>
      </w:r>
    </w:p>
    <w:p>
      <w:r>
        <w:t>IT: VD_FINDINFO Décision / 2021 / 299 del 7 aprile 2021</w:t>
      </w:r>
    </w:p>
    <w:p>
      <w:pPr>
        <w:pStyle w:val="Heading2"/>
      </w:pPr>
      <w:r>
        <w:t>Regeste</w:t>
      </w:r>
    </w:p>
    <w:p>
      <w:r>
        <w:t>RISQUE DE COLLUSION, RISQUE DE RÉCIDIVE, DÉTENTION PROVISOIRE, REJET DE LA DEMANDE | 221 al. 1 let. b CPP (CH), 221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 La correspondance du 1 er avril 2021 et son annexe sont également recevables puisqu’elles ont été adressées à la Cour de céans dans le délai de recours.</w:t>
      </w:r>
    </w:p>
    <w:p>
      <w:r>
        <w:rPr>
          <w:b/>
        </w:rPr>
        <w:t>E. 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La mise en détention provisoire n’est possible que s’il existe à l’égard de l’auteur présumé, et préalablement à toute autre cause, de graves soupçons de culpabilité d’avoir commis un crime ou un délit (ATF 139 IV 186 consid. 2; Chaix, in : Jeanneret/Kuhn/Perrier Depeursinge [éd.], Commentaire romand, Code de procé­dure pénale suisse, 2 e éd., Bâle 2019, nn. 4 ss ad art. 221 CPP).</w:t>
      </w:r>
    </w:p>
    <w:p>
      <w:r>
        <w:rPr>
          <w:b/>
        </w:rPr>
        <w:t>E. 2.3</w:t>
      </w:r>
    </w:p>
    <w:p>
      <w:r>
        <w:t>En l’espèce, le recourant ne conteste pas l’existence de soupçons suffisants à son encontre. A raison puisqu’il reconnait avoir exercé des pressions sur K.________ afin d’obtenir le remboursement d’une somme d’argent. Il admet par ailleurs lui avoir dit de se déshabiller, d’entrer dans le coffre de sa voiture et que celui-ci a pu avoir peur. K.________ a au demeurant fui à travers la forêt, pieds nus, avec pour tout habit son caleçon, et s’est immédiatement rendu à la police pour déposer plainte, ce qui démontre la peur qu’il a ressentie et le fait qu’il a pris au sérieux les pressions exercées à son encontre. Ses habits ont été retrouvés dans le coffre de la voiture du recourant.</w:t>
      </w:r>
    </w:p>
    <w:p>
      <w:r>
        <w:rPr>
          <w:b/>
        </w:rPr>
        <w:t>E. 3.1</w:t>
      </w:r>
    </w:p>
    <w:p>
      <w:r>
        <w:t>Le recourant conteste que le risque de collusion soit concret.</w:t>
      </w:r>
    </w:p>
    <w:p>
      <w:r>
        <w:rPr>
          <w:b/>
        </w:rPr>
        <w:t>E. 3.2</w:t>
      </w:r>
    </w:p>
    <w:p>
      <w:r>
        <w:t>Le placement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Entrent aussi en considération la nature et l’importance des déclarations, respectivement des moyens de preuves susceptibles d’être menacés, la gravité des infractions en cause et le stade de la procédure (ATF 137 IV 122 précité consid. 4.2 ; ATF 132 I 21 consid. 3.2 et les références citées ; TF 1B_577/2020 du 2 décembre 2020 consid. 3.1). Plus l'instruction se trouve à un stade avancé et les faits sont établis avec précision, plus les exigences relatives à la preuve de l'existence d'un risque de collusion sont élevées (ATF 137 IV 122 précité ; ATF 132 I 21 précité).</w:t>
      </w:r>
    </w:p>
    <w:p>
      <w:r>
        <w:rPr>
          <w:b/>
        </w:rPr>
        <w:t>E. 3.3</w:t>
      </w:r>
    </w:p>
    <w:p>
      <w:r>
        <w:t>En l’occurrence, contrairement à ce que le recourant affirme, les principales mesures d’instruction n’ont pas toutes été menées et les preuves ne sont pas toutes en mains de l’autorité. L’enquête n’en est qu’à ses débuts et les protagonistes n’ont pas pleinement collaboré. A cet égard, il suffit de se référer aux déclarations du recourant qui, à de nombreuses reprises, a refusé de répondre aux questions, notamment sur la provenance des fonds remis à K.________. En outre, le prévenu vit en colocation avec B.________ (PV aud. du 25 mars 2021 R. 3 p. 39) et le rôle de ce dernier n’est en l’état pas clair. Le fait qu’ils aient pu se parler avant d’avoir été auditionnés par la police n’y change rien. Par ailleurs des vérifications sont en cours pour établir les circonstances du retrait de plainte de K.________ qui a été auditionné le 1 er avril 2021, et notamment s’il a subi des pressions (PV op. pp. 5 et 6). Le risque de collusion est donc concret.</w:t>
      </w:r>
    </w:p>
    <w:p>
      <w:r>
        <w:rPr>
          <w:b/>
        </w:rPr>
        <w:t>E. 4.1</w:t>
      </w:r>
    </w:p>
    <w:p>
      <w:r>
        <w:t>Le recourant conteste l’existence du risque de réitération.</w:t>
      </w:r>
    </w:p>
    <w:p>
      <w:r>
        <w:rPr>
          <w:b/>
        </w:rPr>
        <w:t>E. 4.2</w:t>
      </w:r>
    </w:p>
    <w:p>
      <w:r>
        <w:t>En vertu de l'art. 221 al. 1 let. c CPP, la détention provisoire peut être ordonnée lorsqu'il y a sérieusement lieu de craindre que le prévenu « compromette sérieusement la sécurité d'autrui par des crimes ou des délits graves après avoir déjà commis des infractions du même genre ».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TF 1B_3/2019 du 17 janvier 2019 consid. 3.1 et les arrêts cités).</w:t>
      </w:r>
    </w:p>
    <w:p>
      <w:r>
        <w:rPr>
          <w:b/>
        </w:rPr>
        <w:t>E. 4.3</w:t>
      </w:r>
    </w:p>
    <w:p>
      <w:r>
        <w:t>En l’espèce, malgré son jeune âge, le prévenu a deux antécédents, dont une condamnation à une peine privative de liberté, et quatre enquêtes ouvertes contre lui. Les infractions pour lesquelles il a déjà été condamné sont diverses (cf. let. A.c supra) et les enquêtes en cours concernent encore d’autres types d’infractions (ibidem). Ces condamnations ne semblent avoir eu aucun effet sur lui ; par ailleurs, les enquêtes pénales en cours, qui portent sur un large spectre d’infractions, sont des indices dont il y a lieu de tenir compte, même si la présomption d’innocence s’applique à cet égard. De plus, le recourant a l’impression d’avoir « agi de façon normale, en demandant des comptes » (PV aud. du 25 mars 2021 R. 8, p. 10), ce qui ne manque pas de surprendre. Il ajoute encore spontanément « suite à cette histoire, je suis dans de beaux draps. Je me retrouve avec des dettes incroyables et sans solution » (ibidem R. 15 p. 13). Il est par ailleurs dans une situation financière difficile dès lors qu’il a des dettes  pour environ 100'000 fr. et aucune perspective de formation ou de projet professionnel, en l’état, dans la mesure où il est à la recherche d’une place d’apprentissage. Compte tenu des antécédents, des enquêtes en cours et du fait que le prévenu ne mesure manifestement pas l’impact sur autrui que peut avoir son comportement et ne fait preuve d’aucun amendement, le risque de réitération est sérieux et concret.</w:t>
      </w:r>
    </w:p>
    <w:p>
      <w:r>
        <w:rPr>
          <w:b/>
        </w:rPr>
        <w:t>E. 5</w:t>
      </w:r>
    </w:p>
    <w:p>
      <w:r>
        <w:t>Les motifs fondant la détention provisoire étant alternatifs (TF 1B_249/2011 du 7 juin 2011 consid. 2.4), l’existence des risques de collusion et de réitération dis­pen­se d’examiner si la détention provisoire se justifie également en raison des risques de fuite ou de passage à l’acte.</w:t>
      </w:r>
    </w:p>
    <w:p>
      <w:r>
        <w:rPr>
          <w:b/>
        </w:rPr>
        <w:t>E. 6.1</w:t>
      </w:r>
    </w:p>
    <w:p>
      <w:r>
        <w:t>Le recourant requiert que des mesures de substitution soient ordonnées en lieu et place de sa détention, soit une interdiction d’approcher le domicile ainsi que le lieu de travail de K.________ à moins de 100 mètres et une interdiction d’entrer en contact avec toute personne que justice dira, mais en tous les cas avec K.________.</w:t>
      </w:r>
    </w:p>
    <w:p>
      <w:r>
        <w:rPr>
          <w:b/>
        </w:rPr>
        <w:t>E. 6.2</w:t>
      </w:r>
    </w:p>
    <w:p>
      <w:r>
        <w:t>En vertu du principe de la proportionnalité ancré à l'art. 36 al. 3 Cst. (Constitution fédérale de la Confédération suisse du 18 avril 1999; RS 101), l'autorité doit tenter autant que possible de substituer à la détention toute autre mesure moins incisive propre à atteindre le même résultat (ATF 142 IV 367 consid. 2.1, SJ 2017 I 233;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w:t>
      </w:r>
    </w:p>
    <w:p>
      <w:r>
        <w:rPr>
          <w:b/>
        </w:rPr>
        <w:t>E. 6.3</w:t>
      </w:r>
    </w:p>
    <w:p>
      <w:r>
        <w:t>En l’espèce, une mesure d’éloignement et de contact, notamment à l’égard de K.________, comme mentionné par le recourant, est manifestement insuffisante pour pallier les risques ci-dessus. Il y a lieu en outre de s’assurer en l’état que le recourant ne puisse pas prendre contact avec B.________, ce qui ne paraît pas possible déjà parce qu’ils vivent ensemble. Surtout, on ne saurait se contenter des engagements du prévenu dont les antécédents et l’incapacité de mesurer la gravité de ses actes démontrent qu’on ne saurait lui faire confiance. Aucune mesure de substitution ne peut ainsi en l’état pallier les risques de collusion et de réitération retenus.</w:t>
      </w:r>
    </w:p>
    <w:p>
      <w:r>
        <w:rPr>
          <w:b/>
        </w:rPr>
        <w:t>E. 7.1</w:t>
      </w:r>
    </w:p>
    <w:p>
      <w:r>
        <w:t>Le recourant fait encore valoir que la durée de trois mois de détention serait disproportionnée.</w:t>
      </w:r>
    </w:p>
    <w:p>
      <w:r>
        <w:rPr>
          <w:b/>
        </w:rPr>
        <w:t>E. 7.2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133 I 168 consid. 4.1; ATF 132 I 21 consid. 4.1; TF 1B_238/2017 du 5 juillet 2017 consid. 2.2). Il convient d'accorder une attention particulière à cette limite, car le juge de première instance ou d'appel pourrait être enclin à prendre en considération dans la fixation de la peine la durée de la détention avant jugement à imputer selon l'art. 51 CP (ATF 139 IV 270 consid. 3.1 p. 275 et la référence citée; TF 1B_11/2020 du 23 janvier 2020 consid. 4.1). En outre, pour examiner si la durée de la détention provisoire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provisoire dépasserait les trois quarts de la peine prévisible n'est pas décisif en tant que tel (ATF 145 IV 179 consid. 3.5; TF 1B_250/2019 du 14 juin 2019 consid. 5.1).</w:t>
      </w:r>
    </w:p>
    <w:p>
      <w:r>
        <w:rPr>
          <w:b/>
        </w:rPr>
        <w:t>E. 7.3</w:t>
      </w:r>
    </w:p>
    <w:p>
      <w:r>
        <w:t>En l’occurrence, X.________ est détenu depuis le 25 mars 2021, soit depuis environ trois semaines. Au vu des infractions qui pourraient être retenues et de ses antécédents, la peine à laquelle le recourant s’expose excède manifestement la durée de trois mois. Le principe de proportionnalité est à l’évidence respecté.</w:t>
      </w:r>
    </w:p>
    <w:p>
      <w:r>
        <w:rPr>
          <w:b/>
        </w:rPr>
        <w:t>E. 8</w:t>
      </w:r>
    </w:p>
    <w:p>
      <w:r>
        <w:t>Il résulte de ce qui précède que le recours doit être rejeté et l'ordonnance attaquée confirmée. L’indemnité due au défenseur d’office de X.________ doit être arrêtée, sur la base de la liste des opérations produite dont il n’y a pas lieu de s’écarter, à 940 fr. en chiffres arrondis, soit 4.75 heures de travail d’avocat au tarif horaire de 180 fr., auxquels s’ajoutent des débours forfaitaires à concurrence de 2 % ( art. 3bis al. 1 RAJ [Règlement sur l'assistance judiciaire en matière civile du 7 décembre 2010 ; BLV 211.02.3], applicable par renvoi de l’art. 26b TFIP), par 17 fr. 10, ainsi que la TVA, par 67 fr. 15. Les frais de la procédure de recours, constitués en l’espèce de l’émolument d'arrêt, par 1'320 fr. (art. 20 al. 1 TFIP [tarif des frais de procédure et indemnités en matière pénale du 28 septembre 2010; BLV 312.03.1]), et des frais imputables à la défense d’office (art. 422 al. 1 et 2 let. a CPP), fixés à 940 fr.,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26 mars 2021 est confirmée. III. L'indemnité allouée au défenseur d'office de X.________ est fixée à 940 fr. (neuf cent quarante francs). IV. Les frais d'arrêt, par 1'320 fr. (mille trois cent vingt francs), ainsi que l'indemnité allouée au défenseur d'office du recourant, par 940 fr. (neuf cent quarante francs), sont mis à la charge de X.________. V. Le remboursement à l'Etat de l’indemnité allouée au ch. IV ci-dessus ne sera exigible que pour autant que la situation financière de X.________ le permette. VI. L’arrêt est exécutoire. Le président :               La greffière : Du Le présent arrêt, dont la rédaction a été approuvée à huis clos, est notifié, par l'envoi d'une copie complète, à : - Me Margaux Loretan, avocate (pour X.________), - Ministère public central, et communiqué à : ‑ Mme la Présidente du Tribunal des mesures de contrainte, - Mme la Procureure de l’arrondissement de Lausanne, - M. K.________,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