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297 vom 31. März 2021</w:t>
      </w:r>
    </w:p>
    <w:p>
      <w:r>
        <w:t>VD Tribunal cantonal, 2021-03-31, FR</w:t>
      </w:r>
    </w:p>
    <w:p>
      <w:r>
        <w:rPr>
          <w:b/>
        </w:rPr>
        <w:t xml:space="preserve">Quelle: </w:t>
      </w:r>
      <w:r>
        <w:t>https://mcp.opencaselaw.ch/entscheid/vd_findinfo_D_cision___2021___297</w:t>
      </w:r>
    </w:p>
    <w:p>
      <w:r>
        <w:t>FR: VD_FINDINFO Décision / 2021 / 297 du 31 mars 2021</w:t>
      </w:r>
    </w:p>
    <w:p>
      <w:r>
        <w:t>IT: VD_FINDINFO Décision / 2021 / 297 del 31 marzo 2021</w:t>
      </w:r>
    </w:p>
    <w:p>
      <w:pPr>
        <w:pStyle w:val="Heading2"/>
      </w:pPr>
      <w:r>
        <w:t>Regeste</w:t>
      </w:r>
    </w:p>
    <w:p>
      <w:r>
        <w:t>NON-LIEU, HONNEUR, INFRACTIONS CONTRE L'HONNEUR, ADMISSION DE LA DEMANDE | 173 ch. 1 CP, 173 ch. 2 CP, 173 ch. 3 CP, 174 ch. 1 CP, 310 CPP (CH)</w:t>
      </w:r>
    </w:p>
    <w:p>
      <w:pPr>
        <w:pStyle w:val="Heading2"/>
      </w:pPr>
      <w:r>
        <w:t>Erwägungen</w:t>
      </w:r>
    </w:p>
    <w:p>
      <w:r>
        <w:rPr>
          <w:b/>
        </w:rPr>
        <w:t>E. 26</w:t>
      </w:r>
    </w:p>
    <w:p>
      <w:r>
        <w:t>mars 2021, conclu à son rejet en se référant à la motivation de son ordonnance. En droit : 1. Les parties peuvent attaquer une ordonnance de non-entrée en matière rendue par le Ministère public en application de l’art. 310 CPP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en temps utile et dans les formes prescrites (art. 385 al. 1 CPP) auprès de l’autorité compétente, par la partie plaignante qui a qualité pour recourir (art. 382 al. 1 CPP), le recours est recevable. 2. La recourante invoque une violation du principe « in dubio pro duriore ». Elle soutient que l’ordonnance viole en outre les art. 173 et 174 CP dans la mesure où elle paraît faire dépendre la réalisation de ces infractions de l’intensité du caractère litigieux du procès civil, et laisse penser que la durée de ladite procédure pourrait être un facteur de disculpation, voire de tolérance; elle considère, par analogie, que de dire que quelqu’un qui forme une société avec un tiers, qu’il s’est servi dans les compte de cette société et qu’il a avoué son forfait, signifie objectivement qu’il a volé 120'000 fr. et qu’il l’a reconnu. Enfin, elle souligne qu’il est inexact de dire qu’il s’agit d’allégués soumis à la preuve, car les trois phrases en cause sont des affirmations figurant dans une lettre, hors procédure. 3. 3.1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3.2 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consid. 2.4.2 et 2.4.4).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(ATF 132 IV 112 consid. 3.1).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L'art. 176 CP assimile à la diffamation et à la calomnie verbales la diffamation et la calomnie par l'écriture, l'image, le geste ou par tout autre moyen. L'honneur protégé par le droit pénal est conçu de façon générale comme un droit au respect, qui est lésé par toute assertion propre à exposer la personne visée au mépris en sa qualité d'homme (ATF 145 IV 462 consid. 4.2.2; ATF 137 IV 313 consid. 2.1.1;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TF 6B_226/2019 du 29 mars 2019 consid. 3.3; TF 6B_224/2016 du 3 janvier 2017 consid. 2.2). Pour apprécier si une déclaration est attentatoire à l'honneur, il faut procéder à une interprétation objective selon le sens que le destinataire non prévenu devait, dans les circonstances d'espèce, lui attribuer (ATF 145 IV 462 consid. 4.2.3; ATF 137 IV 313 consid. 2.1.3). Les mêmes termes n'ont donc pas nécessairement la même portée suivant le contexte dans lequel ils sont employés (ATF 118 IV 248 consid. 2b; ATF 105 IV 196 consid. 2). Selon la jurisprudence, un texte doit être analysé non seulement en fonction des expressions utilisées, prises séparément, mais aussi selon le sens général qui se dégage du texte dans son ensemble (ATF 145 IV 462 précité; ATF 137 IV 313 consid. 2.1.3). Déterminer le contenu d'un message relève des constatations de fait. Le sens qu'un destinataire non prévenu confère aux expressions et images utilisées constitue en revanche une question de droit (ATF 145 IV 462 précité; ATF 137 IV 313 consid. 2.1.3). 3.3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consid. 4; ATF 131 IV 154 consid. 1.3.1; TF 6B_1254/2019 du 16 mars 2020 consid. 7.1; TF 6B_541/2019 du 15 juillet 2019 consid. 2.2 ; s’agissant en particulier de l’avocat, cf. aussi ATF 110 IV 87 consid. 1b p. 89 in fine, avec réf. à von Werra, Der Anwalt und die üble Nachrede, in : Bulletin des SAV, Dezemberheft 1980, trad. in : L’avocat et la diffamation, Bulletin de la FSA 1981 p. 3 ss). 3.4 L'action en partage de l’art. 604 CC est destinée à faire prononcer par le tribunal le partage lui-même, lorsque les héritiers ne s'entendent pas sur les modalités de celui-ci. Préalablement au prononcé du partage judiciaire, il y a cependant toujours lieu de constater l'étendue de la succession qui n'est pas encore partagée ainsi que la quote-part des parties (Weibel, in : Abt/Weibel [éd.], Erbrecht, 4 e éd. 2019, n. 26 ad art. 604 CC; Eigenmann/Landert, Actions successorales, 2019, § 13, n. 12). Dans le cadre de l'action en partage – ou par cumul d'actions –, le juge peut ainsi être amené à trancher diverses questions matérielles préjudicielles au partage lui-même, à savoir notamment: l'obligation de rapporter (art. 626 CC), la réduction (art. 525 CC), l'imputation d'une indemnité en cas d'utilisation ou de consommation d'un actif successoral par un héritier (art. 602 al. 1 CC; sur ce point précis: ATF 101 II 36 consid. 3; TF 5A_776/2009 du 27 mai 2010 consid. 10.4.1; TF 5A_341/2010 du 4 octobre 2010 consid. 6.1 et les références) ou encore la validité et l'interprétation d'une disposition pour cause de mort (cf. Eigenmann/Landert, op. cit., § 13, n. 13; Weibel, op. cit., n. 27 ad art. 604 CC; Steinauer, Le droit des successions, 2 e éd. 2015, n. 1283). Au décès du de cujus , ses droits et obligations passent à ses héritiers qui forment une communauté prenant fin par le partage (art. 602 al. 1 CC). L'administration des actifs successoraux se fait alors en commun (art. 653 al. 2 et 602 al. 2 CC) : toutes les décisions, qu'il s'agisse d'actes importants ou de mesures d'administration courantes, doivent ainsi être prises à l'unanimité (ATF 125 III 219 consid. 1a; ATF 121 III 118 consid. 2; ATF 50 II 216 consid. 1; parmi plusieurs : Steinauer, op. cit., n. 1213; Wolf, in : Berner Kommentar, 2014, n. 69 ad art. 602; TF 5A_512/2019 du 28 octobre 2019 consid. 4.1.2 et les références). Hormis le pouvoir de chaque héritier d'agir dans l'urgence pour préserver les droits de la communauté (cf. ATF 144 III 277 consid. 3.3; ATF 125 III 219 consid. 1a) ou les pouvoirs du représentant nommé sur requête (art. 602 al. 3 CC), l'héritier qui agit seul est alors soumis aux règles sur la gestion d'affaires (art. 419 ss CO; Steinauer, op. cit., n. 1213a; cf. également Piotet, Droit successoral, in : Traité de droit privé suisse, tome IV, 1975, p. 596 s.). L'art. 423 al. 1 CO prévoit à cet égard que, lorsque la gestion d'affaires a été entreprise dans l'intérêt du gérant, le maître n'en a pas moins le droit de s'approprier les profits qui en résultent. Selon la jurisprudence, cette règle ne s'applique toutefois qu'au gérant de mauvaise foi, à savoir celui qui intervient en sachant ou devant savoir qu'il gère l'affaire d'autrui sans avoir de motifs pour ce faire; elle ne s'applique pas en revanche au gérant de bonne foi, les rapports entre les parties étant, dans cette hypothèse, régis par les règles sur l'enrichissement illégitime (ATF 129 III 422 consid. 4; cf. également TF 4A_211/2016 du 7 juillet 2016 consid. 2 et les références); la responsabilité délictuelle fondée sur l'art. 41 CO – qui serait en l'espèce matérialisée par la violation de la règle de l'unanimité posée par l'art. 602 CC – doit en principe être écartée en l'absence de faute du gérant (Tercier et alii, Les contrats spéciaux, 5 e éd. 2016, n. 5439). 3.5 En l’espèce, il est vrai que, parmi les nombreuses questions préjudicielles qui se posent dans une action en partage successoral ou dans le cadre de la négociation d’un partage amiable (cf. supra consid. 3.4), une partie doit pouvoir invoquer qu’une autre partie a utilisé ou consommé un actif successoral sans encourir le risque d’être visée par une plainte pénale, ne serait-ce que pour que le montant en cause soit pris en compte dans ledit partage. Toutefois, le fait pour le conseil d’un héritier de soutenir, dans un courrier adressé à un magistrat en charge d’une procédure en partage successoral, d’un autre héritier que celui-ci « s’est servi » de 120'000 fr. dans les avoirs successoraux, ou qu’il a prélevé cette somme sur l’héritage de son père (alors même que la procédure de partage n’est pas terminée) peut objectivement laisser entendre qu’il n’avait pas le droit de le faire, notamment qu’il s’est immiscé sans droit dans les affaires successorales au sens de l’art. 571 al. 2 CC, ou qu’il a disposé de biens successoraux en violation de la règle selon laquelle l’accord de tous les héritiers est nécessaire pour ce faire (cf. art. 602 al. 2 CC). De tels propos n’impliquent pas dans tous les cas la commission d’une infraction pénale, mais ils peuvent laisser objectivement entendre à leur destinataire – qui est en l’occurrence magistrat – la commission d’une telle infraction ou celle d’un acte moralement répréhensible, notamment lorsque l’héritier en cause serait de mauvaise foi ou n’aurait pas la faculté de reverser la contre-valeur du montant soustrait, en particulier au moyen du montant qui lui sera finalement dévolu dans le cadre du partage et/ou de la liquidation de la succession (cf. art. 137, 138 ou 158 CP). C’est ainsi à tort que la procureure a estimé qu’il pouvait être exclu que les propos en cause fussent diffamatoires. Quant au point de savoir s’ils pouvaient être considérés comme autorisés par la loi au sens de l’art. 14 CP, voire si leur auteur pouvait être admis à faire les preuves libératoires de la vérité ou de la bonne foi, notamment par rapport aux déclarations que la recourante auraient elle-même tenues lors de l’audience du 19 novembre 2019, la Cour de céans ne peut que constater que la plaignante prétend que les propos litigieux seraient faux, en ce sens que le montant en cause n’aurait pas été prélevé sur l’actif successoral, qu’il ne serait donc pas concerné par l’action en partage, et que son frère le savait. Au vu de cette contestation, il ne peut être retenu, à ce stade, que l’auteur des propos a apporté la preuve de la vérité ou de sa bonne foi. Enfin, le fait qu’il se serait agi d’« allégués en matière civile, soumis à la preuve » est dépourvu de toute pertinence : d’abord, il ne s’agissait pas d’une écriture (demande ou requête; réponse; réplique; duplique), contenant des allégations de fait avec, pour chaque allégation, l’indication des moyens de preuve proposés (cf. par ex., pour la procédure ordinaire, art. 221 al. 1 let. d et e CPC), mais apparemment de déterminations sur le rapport d’un expert commis au partage, lequel avait fait des propositions de répartition à l’amiable sur lesquelles les parties donnaient leur avis; il n’était donc pas question d’administrer des preuves sur les faits énoncés dans ces déterminations; enfin et de toute manière, le fait que des preuves soient administrées sur des allégués n’autorise pas la partie à invoquer des faits diffamatoires. Manifestement, le contexte des propos doit être analysé, pour déterminer si leur auteur peut se prévaloir d’un acte licite au sens de l’art. 14 CP. Il y a dès lors matière à ouvrir une instruction pénale sur la base des faits dénoncés le 26 novembre 2020. 4. En définitive, le recours doit être admis et l’ordonnance attaquée annulée. Le dossier de la cause sera renvoyé au Ministère public pour qu’il ouvre une instruction pénale et procède dans le sens des considérants. Vu l’admission du recours, les frais de la procédure, constitués de l’émolument d’arrêt, par 1’210 fr. (art. 20 al. 1 TFIP [Tarif des frais de procédure et indemnités en matière pénale du 28 septembre 2010; BLV 312.03.1]), seront laissés à la charge de l’Etat (art. 428 al. 4 CPP). La recourante, qui a procédé avec l’assistance d’un conseil de choix et qui a obtenu gain de cause, a droit à une pleine indemnité pour les dépenses occasionnées par la procédure de recours (art. 433 al. 1 CPP, applicable par renvoi de l’art. 436 al. 1 CPP). Il convient de retenir une activité raisonnable de deux heures d’avocat pour toutes les opérations utiles. Le tarif horaire sera fixé à 300 fr. pour tenir compte de la nature de la cause (art. 26a al. 4 TFIP). A ces honoraires de 600 fr. doivent être ajoutés des débours forfaitaires à concurrence de 2 % (art. 19 al. 2 TDC [Tarif des dépens en matière civile du 23 novembre 2010; BLV 270.11.6], applicable par analogie par renvoi de l’art. 26a al. 6 TFIP) par 12 fr., plus un montant correspondant à la TVA par 47 fr. 10. Cette indemnité s’élève ainsi à 659 fr. 10, montant arrondi à 660 francs. Par ces motifs, la Chambre des recours pénale prononce : I. Le recours est admis. II. L’ordonnance du 1 er décembre 2020 est annulée. III. Le dossier de la cause est renvoyé au Ministère public de l'arrondissement du Nord vaudois pour qu'il procède dans le sens des considérants. IV. Une indemnité de 660 fr. (six cent soixante francs) est allouée à S.________ pour la procédure de recours, à la charge de l’Etat. V. Les frais d’arrêt, par 1'210 fr. (mille deux cent dix francs), sont laissés à la charge de l’Etat. VI. L’arrêt est exécutoire. Le président :              Le greffier : Du Le présent arrêt, dont la rédaction a été approuvée à huis clos, est notifié, par l'envoi d'une copie complète, à : - Me Pierre del Boca, avocat (pour S.________),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