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29 vom 11. Januar 2021</w:t>
      </w:r>
    </w:p>
    <w:p>
      <w:r>
        <w:t>VD Tribunal cantonal, 2021-01-11, FR</w:t>
      </w:r>
    </w:p>
    <w:p>
      <w:r>
        <w:rPr>
          <w:b/>
        </w:rPr>
        <w:t xml:space="preserve">Quelle: </w:t>
      </w:r>
      <w:r>
        <w:t>https://mcp.opencaselaw.ch/entscheid/vd_findinfo_D_cision___2021___29</w:t>
      </w:r>
    </w:p>
    <w:p>
      <w:r>
        <w:t>FR: VD_FINDINFO Décision / 2021 / 29 du 11 janvier 2021</w:t>
      </w:r>
    </w:p>
    <w:p>
      <w:r>
        <w:t>IT: VD_FINDINFO Décision / 2021 / 29 del 11 gennaio 2021</w:t>
      </w:r>
    </w:p>
    <w:p>
      <w:pPr>
        <w:pStyle w:val="Heading2"/>
      </w:pPr>
      <w:r>
        <w:t>Regeste</w:t>
      </w:r>
    </w:p>
    <w:p>
      <w:r>
        <w:t>DÉTENTION PROVISOIRE, PROPORTIONNALITÉ, SOUPÇON, RISQUE DE FUITE | 212 al. 3 CPP (CH), 221 al. 1 let. a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fait valoir en premier lieu l'absence de graves soupçons à son encontre et le fait que le Tribunal des mesures de contrainte s'est uniquement fondé sur les déclarations de Q.________. Il soutient notamment que les soupçons se seraient même affaiblis depuis la précédente ordonnance et que les déclarations de Q.________, motivées par un désir de vengeance, sont sujettes à caution.</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1B_139/2020 du 15 avril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3.1 et les arrêts cités).</w:t>
      </w:r>
    </w:p>
    <w:p>
      <w:r>
        <w:rPr>
          <w:b/>
        </w:rPr>
        <w:t>E. 3.3</w:t>
      </w:r>
    </w:p>
    <w:p>
      <w:r>
        <w:t>En l’espèce, l’argument du recourant est mal fondé, à tout le moins en ce qui concerne l’audition du 29 juillet 2020, qui semble être le premier acte de l’instruction où le recourant a été mis en cause. En effet, les déclarations faites le 29 juillet 2020 par Q.________ constituent des charges suffisantes au regard de l’art. 221 CPP, même si, comme l’a relevé le recourant, Q.________ l’a mis dans un premier temps hors de cause lors d’une audition du 2 mai 2020 (cf. PV aud. 1, p. 5 D7). En outre, entendu à nouveau lors de l'audition de confrontation du 30 novembre 2020, Q.________ a confirmé ses accusations à l'encontre du recourant. Il ressort également de cette audition que le recourant achetait des produits stupéfiants pour les revendre et qu’il avait de la demande. Au surplus, outre les déclarations précitées, la perquisition de son domicile et les échanges téléphoniques ont révélé des éléments corroborant une potentielle implication dans un trafic de drogue. A ce stade de l'enquête, les dénégations du recourant s'agissant de son implication dans le trafic de stupéfiants et selon lesquelles il ne serait qu'un simple consommateur ne sont pas du tout convaincantes. Il existe donc en l’état des indices suffisants de culpabilité pour justifier le maintien en détention du prévenu. La première condition de l’art. 221 al. 1 CPP apparaît ainsi réalisée.</w:t>
      </w:r>
    </w:p>
    <w:p>
      <w:r>
        <w:rPr>
          <w:b/>
        </w:rPr>
        <w:t>E. 4.1</w:t>
      </w:r>
    </w:p>
    <w:p>
      <w:r>
        <w:t>Le recourant conteste aussi l’existence d’un risque de fuite en faisant valoir qu’il serait dans son intérêt de rester en Suisse s'agissant du renouvellement de son permis de séjour. Il expose qu'il avait connaissance qu'une procédure pénale avait été ouverte pour trafic de stupéfiants dans laquelle Q.________ avait été arrêté et qu'une perquisition avait été menée à son domicile et que s'il avait été réellement impliqué dans ce trafic, il n'aurait pas pris le risque de demeurer sur le territoire suisse et ne se serait pas rendu à 23 reprises au poste de police pour s'enquérir des suites données à la saisie d'argent intervenue lors de la perquisition de son domicile.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En l’espèce, la situation du recourant ne s'est pas modifiée depuis le précédent arrêt de la Cour de céans. Il est né le [...] 1990 à [...] en France, pays dont il est ressortissant. Il séjourne en Suisse au bénéfice d’un permis B qui est en cours de renouvellement. Au vu des infractions qui lui sont reprochées, il risque une peine privative de liberté et un renvoi, de sorte qu’il est fort à redouter qu’il soit tenté de fuir le territoire suisse ou de tomber dans la clandestinité. Comme le rappelle à bon droit le Tribunal des mesures de contrainte, le recourant n’a aucune attache en Suisse. Le fait qu’il se soit rendu 23 fois au poste de police entre le 2 mai et le 5 octobre 2020 n’exclut en rien le risque de fuite. Ignorant jusqu’au 5 octobre 2020 qu’il avait été mis en cause par Q.________, le recourant pouvait croire, même en le supposant coupable des faits qui lui sont reprochés, qu’il pourrait échapper à toute poursuite grâce à la discrétion de son ex-colocataire. Le fait qu’il n’ait pas pris la fuite avant le 5 octobre 2020 n’impliquait donc pas qu’il ne la prendrait pas après – si l’occasion lui en était laissée – lorsque, informé des déclarations faites à la police par Q.________ le concernant, il aurait pris conscience du risque concret de condamnation pénale auquel il était exposé. Le risque de fuite au sens de l’art. 221 al. 1 let. a CPP est donc toujours concret.</w:t>
      </w:r>
    </w:p>
    <w:p>
      <w:r>
        <w:rPr>
          <w:b/>
        </w:rPr>
        <w:t>E. 5</w:t>
      </w:r>
    </w:p>
    <w:p>
      <w:r>
        <w:t>Les risques fondant la détention provisoire étant alternatifs, la question de l’existence d’un éventuel risque de collusion peut ne pas être examinée, dès lors que la détention est justifiée par le risque de fuite.</w:t>
      </w:r>
    </w:p>
    <w:p>
      <w:r>
        <w:rPr>
          <w:b/>
        </w:rPr>
        <w:t>E. 6.1</w:t>
      </w:r>
    </w:p>
    <w:p>
      <w:r>
        <w:t>Le recourant se prévaut de la violation du principe de proportionnalité en relation avec le principe de célérité, soutenant que la procédure pénale ne serait d'aucune complexité et que la prolongation de sa détention provisoire aurait été uniquement due au retard de transmission du rapport de police, retard qu'il qualifie d'injustifié. Subsidiairement, il soutient que les mesures de substitution qu'il propose seraient propres à parer aux risques de fuite et de collusion.</w:t>
      </w:r>
    </w:p>
    <w:p>
      <w:r>
        <w:rPr>
          <w:b/>
        </w:rPr>
        <w:t>E. 6.2.1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6.2.2</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(ATF 128 I 149 consid. 2.2.1 ; ATF 123 I 268 consid. 3a ; TF 1B_208/2019 du 29 mai 2019 consid. 6.1). Il doit toutefois s'agir d'un manquement particulièrement grave, faisant au surplus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w:t>
      </w:r>
    </w:p>
    <w:p>
      <w:r>
        <w:rPr>
          <w:b/>
        </w:rPr>
        <w:t>E. 6.2.3</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L'art. 237 al. 3 CPP précise que, pour surveiller l'exécution de ces mesures, le tribunal peut ordonner l'utilisation d'appareils techniques qui peuvent être fixés à la personne sous surveillance. En présence d’un risque de fuite évident, une saisie des documents d’identité, une assignation à résidence – même assortie du bracelet électronique – et la présentation à un poste de police ne sont pas de nature à empêcher une personne de s’enfuir à l’étranger, voire de passer dans la clandestinité (ATF 145 IV 503 consid. 3.2).</w:t>
      </w:r>
    </w:p>
    <w:p>
      <w:r>
        <w:rPr>
          <w:b/>
        </w:rPr>
        <w:t>E. 6.3</w:t>
      </w:r>
    </w:p>
    <w:p>
      <w:r>
        <w:t>En l'espèce, le premier moyen soulevé par le recourant est mal fondé. Au vu de la jurisprudence précitée, un retard injustifié ne peut rendre la détention provisoire disproportionnée que si ce retard a pour effet de prolonger la détention. Dans le cas présent, si les soupçons à l’encontre du recourant devaient se confirmer, celui-ci s’exposerait concrètement, au regard de la gravité des faits qui lui sont reprochés, à une peine privative de liberté d’une année au minimum (cf. art. 19 al. 2 let. a LStup), de sorte que la limite de l’art. 212 al. 3 CPP est encore loin d’être atteinte. La Cour de céans considère, à l’instar du premier juge, que les mesures de substitution proposées par le recourant ne sont pas susceptibles de prévenir efficacement le risque de fuite constaté et qu’aucune autre mesure n’est à même de le pallier valablement. En particulier, au vu de la jurisprudence, ni le dépôt des documents d’identité, ni l’interdiction de quitter la Suisse en se présentant à la police tous les jours, ne constituent à cet égard une garantie sérieuse. En effet, ces mesures n’empêcheraient ni la clandestinité ni le passage d’une frontière. Il en va de même pour la fourniture d'un montant à titre de sûretés. Finalement, le raisonnement du Tribunal fédéral cité par le recourant (TF 1B_48/2020 du 13 février 2020 consid. 2.4) concerne le risque de réitération et non les risques de fuite et de collusion. Au demeurant, la situation du recourant diffère largement de celle à l'origine de cet arrêt du Tribunal fédéral qui concerne un prévenu qui avait de réelles attaches en Suisse et qui avait la possibilité de travailler dans l'entreprise familiale.</w:t>
      </w:r>
    </w:p>
    <w:p>
      <w:r>
        <w:rPr>
          <w:b/>
        </w:rPr>
        <w:t>E. 7</w:t>
      </w:r>
    </w:p>
    <w:p>
      <w:r>
        <w:t>Il résulte de ce qui précède que le recours, manifestement mal fondé, doit être rejeté sans échange d’écritures (art. 390 al. 2 CPP) et l’ordonnance attaquée confirmée. Au vu de la nature de l’affaire et du mémoire de recours produit, l’indemnité allouée au défenseur d’office de X.________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593 fr. 20 au total, montant arrondi à 594 francs. Vu le sort du recours, les frais de la procédure, constitués en l’espèce de l’émolument d'arrêt, par 1'320 fr. (art. 20 al. 1 TFIP), et des frais imputables à la défense d’office de X.________ (art. 422 al. 1 et 2 let. a CPP), fixés à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4 janvier 2021 est confirmée. III. L’indemnité allouée au défenseur d’office de X.________ est fixée à 594 fr. (cinq cent nonante-quatre francs). IV. Les frais d’arrêt, par 1'320 fr. (mille trois cent vingt francs), ainsi que l’indemnité due au défenseur d’office du recourant, par 594 fr. (cinq cent nonante-quatre francs), sont mis à la charge de X.________.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Daniel Trajilovic, avocat (pour X.________), - Ministère public central, et communiqué à : ‑ M. le Président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