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286 vom 11. März 2021</w:t>
      </w:r>
    </w:p>
    <w:p>
      <w:r>
        <w:t>VD Tribunal cantonal, 2021-03-11, FR</w:t>
      </w:r>
    </w:p>
    <w:p>
      <w:r>
        <w:rPr>
          <w:b/>
        </w:rPr>
        <w:t xml:space="preserve">Quelle: </w:t>
      </w:r>
      <w:r>
        <w:t>https://mcp.opencaselaw.ch/entscheid/vd_findinfo_D_cision___2021___286</w:t>
      </w:r>
    </w:p>
    <w:p>
      <w:r>
        <w:t>FR: VD_FINDINFO Décision / 2021 / 286 du 11 mars 2021</w:t>
      </w:r>
    </w:p>
    <w:p>
      <w:r>
        <w:t>IT: VD_FINDINFO Décision / 2021 / 286 del 11 marzo 2021</w:t>
      </w:r>
    </w:p>
    <w:p>
      <w:pPr>
        <w:pStyle w:val="Heading2"/>
      </w:pPr>
      <w:r>
        <w:t>Regeste</w:t>
      </w:r>
    </w:p>
    <w:p>
      <w:r>
        <w:t>CLASSEMENT DE LA PROCÉDURE, FRAIS DE LA PROCÉDURE, ACTION RÉCURSOIRE, INDEMNITÉ{EN GÉNÉRAL}, AIDE AUX VICTIMES | 30 al. 1 LAVI, 385 CPP (CH), 420 CPP, 426 al. 2 CPP (CH), 427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La recevabilité du recours suppose que l’acte de recours soit motivé (art.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 Pitteloud, Code de procédure pénale suisse, Commentaire à l’usage des praticiens, 2012, n. 1126 ; Lieber, in : Donatsch et al. [éd.], Zürcher Kommentar, Schweizerischen Strafprozessordnung, 3 e éd., Zurich/Bâle/Genève 2020, n. 2 ad art. 385 CPP). Ainsi, il doit indiquer dans quelle mesure et sous quel angle il entend critiquer l’établissement des faits ou l’application du droit (Calame, Commentaire romand, Code de procédure pénale suisse, 2 e éd., Bâle 2019, n. 20 ad art. 385 CPP). 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6B_510/2018 du 31 juillet 2018 consid. 1 et les références citées ; TF 1B_232/2017 du 19 juillet 2017 consid. 2.4.3 ; TF 1B_183/2012 du 20 novembre 2012 consid. 2 ; CREP 18 décembre 2020/1020 ; CREP 24 septembre 2020/561).</w:t>
      </w:r>
    </w:p>
    <w:p>
      <w:r>
        <w:rPr>
          <w:b/>
        </w:rPr>
        <w:t>E. 1.2</w:t>
      </w:r>
    </w:p>
    <w:p>
      <w:r>
        <w:t>En l’espèce, interjeté en temps utile devant l’autorité compétente, par le prévenu qui a qualité pour recourir dans la mesure où il conteste la mise à sa charge des frais de procédure (art. 382 al. 1 CPP), et satisfaisant aux conditions de forme prescrites (art. 385 al. 1 CPP), le recours de B.I.________ est recevable. Il n’en va toutefois pas de même du recours de A.I.________. Celle-ci se borne à indiquer que la part des frais à sa charge est exagérée et qu’elle n’est pas d’accord avec cela. Clairement insuffisante, cette motivation ne répond pas aux exigences de l’art. 385 al. 1 CPP et doit par conséquent être déclarée irrecevable.</w:t>
      </w:r>
    </w:p>
    <w:p>
      <w:r>
        <w:rPr>
          <w:b/>
        </w:rPr>
        <w:t>E. 2</w:t>
      </w:r>
    </w:p>
    <w:p>
      <w:r>
        <w:t>CPP ne saurait par conséquent être appliqué au recourant. L’absence de plainte qui a conduit au classement de la procédure pour ces trois cas ne modifie en rien cette appréciation. On ne saurait davantage imputer des frais au recourant sur la base de l’art. 427 al. 2 CPP, puisqu’il n’a manifestement pas agi de façon téméraire ou par négligence grave comme on le verra au considérant 3.3 ci-dessous. On relèvera en outre que des frais ont été mis à la charge de B.R.________ pour le cas 3b et de B.G.________ dans les cas 3a à 3c. Or, l'application de l'art. 426 al. 2 CPP exclut celle de l'art. 427 al. 2 CPP (TF 6B_1395/2017 du 30 mai 2018 consid. 2.1). Partant, le recours doit être admis sur ce point.</w:t>
      </w:r>
    </w:p>
    <w:p>
      <w:r>
        <w:rPr>
          <w:b/>
        </w:rPr>
        <w:t>E. 2.1</w:t>
      </w:r>
    </w:p>
    <w:p>
      <w:r>
        <w:t>B.I.________ conteste devoir supporter des frais de procédure. Il se dit victime des agissements de B.G.________, B.R.________ et A.________ et affirme n’avoir pris part à aucune provocation et n’être intervenu que pour aider Y.________ avant d’être frappé à son tour. Dans la mesure où les faits seraient impossibles à établir, on ne pourrait pas retenir qu’il aurait eu un comportement fautif et lui faire supporter une partie des frais de procédure reviendrait à laisser entendre qu’il se serait rendu coupable des infractions pour lesquelles il a bénéficié d’un classement. S’agissant en particulier des cas 3a et 3b, le recourant fait valoir qu’il n’aurait pas été poursuivi pour lésions corporelles simples subsidiairement voies de fait et qu’il serait seul à avoir déposé plainte, de sorte qu’il n’aurait pas la qualité de prévenu et qu’aucun frais n’aurait dû être mis à sa charge. S’agissant du cas 3c, le recourant fait valoir qu’il aurait principalement la qualité de victime et qu’il ne serait en rien à l’origine de l’ouverture de l’instruction, preuve en serait son incapacité de travail et le rapport de l’Unité de médecine des violences du 21 novembre 2017 indiquant qu’il a souffert notamment d’une fracture et de plaies à la tête et d’une probable fracture costale. Ce serait sur la base des déclarations des membres du clan opposé que la procureure aurait mis des frais de procédure à sa charge et l’analyse de crédibilité des diverses personnes impliquées à laquelle celle-ci s’est livrée n’aurait pas eu lieu d’être dans la mesure où les infractions en cause ne se poursuivaient pas d’office et que les plaintes avaient été retirées.</w:t>
      </w:r>
    </w:p>
    <w:p>
      <w:r>
        <w:rPr>
          <w:b/>
        </w:rPr>
        <w:t>E. 2.2.1</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retrait de plainte, comme en l'espèce, s'apparente d'un point de vue procédural à un classement (cf. art. 319 al. 1 let. d CPP). En ce sens, l'art. 426 al. 2 CPP est susceptible de s'appliquer dans le cadre d'un retrait de plainte pour une infraction poursuivie sur plainte (TF 6B_1065/2015 du 15 septembre 2016 consid. 2.1 et la réf. cit.).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Le juge ne peut fonder sa décision que sur des faits incontestés ou déjà clairement établis (ATF 112 Ia 371 consid. 2a ; TF 6B_1462/2020 du 4 février 2021 consid. 2 ; TF 6B_660/2020 du 9 septembre 2020 consid. 1.3).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(TF 1B_21/2012 du 27 mars 2012 consid. 2.4).</w:t>
      </w:r>
    </w:p>
    <w:p>
      <w:r>
        <w:rPr>
          <w:b/>
        </w:rPr>
        <w:t>E. 2.2.2</w:t>
      </w:r>
    </w:p>
    <w:p>
      <w:r>
        <w:t>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et la référence citée).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w:t>
      </w:r>
    </w:p>
    <w:p>
      <w:r>
        <w:rPr>
          <w:b/>
        </w:rPr>
        <w:t>E. 2.3</w:t>
      </w:r>
    </w:p>
    <w:p>
      <w:r>
        <w:t>En l’espèce, les cas 3a à 3c ont ceci de commun que le recourant était seul plaignant, les autres participants à ces altercations n’ayant pas déposé plainte contre lui. En d’autres termes, le recourant n’avait pas le statut de prévenu pour ces trois cas qui ne se poursuivaient que sur plainte (lésions corporelles simples). L’art. 426 al.</w:t>
      </w:r>
    </w:p>
    <w:p>
      <w:r>
        <w:rPr>
          <w:b/>
        </w:rPr>
        <w:t>E. 3.1</w:t>
      </w:r>
    </w:p>
    <w:p>
      <w:r>
        <w:t>Invoquant une violation de l’art. 420 al. 1 let. a CPP, le recourant conteste devoir supporter l’indemnité allouée à son conseil juridique gratuit. Il affirme que ce serait de bonne foi qu’il a déposé plainte et rappelle qu’il a été victime de coups dûment établis par constat médical et qui ont engendré un arrêt de travail. Il soutient également que lui faire supporter l’indemnité allouée à son conseil juridique gratuit, alors qu’il aurait le statut de victime, contreviendrait à l’art. 30 al. 3 LAVI.</w:t>
      </w:r>
    </w:p>
    <w:p>
      <w:r>
        <w:rPr>
          <w:b/>
        </w:rPr>
        <w:t>E. 3.2.1</w:t>
      </w:r>
    </w:p>
    <w:p>
      <w:r>
        <w:t>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6B_638/2020 du 3 février 2021 consid. 2.2 et les références citées). Une action récursoire entre en ligne de compte en cas de soupçons sans fondement, mais non lorsqu'une plainte est déposée de bonne foi. L'on songe plutôt à la dénonciation calomnieuse au sens de l'art. 303 CP (TF 6B_638/2020 du 3 février 2021 consid. 2.2 et les références citées). Selon la jurisprudence, le dénonciateur qui utilise le droit de dénoncer à des fins étrangères à celles pour lesquelles ce droit a été prévu agit par négligence grave (TF 6B_638/2020 du 3 février 2021 consid. 2.2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2 e éd., Bâle 2014, n. 6 ad art. 420 CPP).</w:t>
      </w:r>
    </w:p>
    <w:p>
      <w:r>
        <w:rPr>
          <w:b/>
        </w:rPr>
        <w:t>E. 3.2.2</w:t>
      </w:r>
    </w:p>
    <w:p>
      <w:r>
        <w:t>Aux termes de l’art. 30 LAVI (Loi sur l’aide aux victimes ; RS 312.5),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 L'exclusion du remboursement, par la victime et ses proches, des frais de l'assistance gratuite d'un défenseur prévue par l'art. 30 al. 3 LAVI vise aussi la défense d'office de la victime au bénéfice de l'assistance judiciaire dans le cadre d'une procédure pénale et/ou civile dirigée contre l'auteur de l'infraction (ATF 141 IV 262 consid. 2). L'art. 30 al. 3 LAVI constitue une lex specialis par rapport aux art. 135 al. 4 et 138 al. 1 CPP. Il n'est pas possible d'exiger de la victime au bénéfice de l'assistance judiciaire le remboursement à l'Etat des honoraires de son conseil d'office (ATF 141 IV 262 consid. 3). L'art. 30 al. 3 LAVI s'applique également lorsque l'infraction alléguée ne peut pas être démontrée en procédure de première instance. Il n'est par conséquent pas admissible d'exiger de la victime, dès que sa situation financière le lui permet, qu'elle rembourse les coûts de son assistance judiciaire gratuite en cas d'acquittement dans la procédure d'instruction et de première instance (ATF 143 IV 154 consid. 2.3.4, JdT 2017 IV 347).</w:t>
      </w:r>
    </w:p>
    <w:p>
      <w:r>
        <w:rPr>
          <w:b/>
        </w:rPr>
        <w:t>E. 3.3</w:t>
      </w:r>
    </w:p>
    <w:p>
      <w:r>
        <w:t>En l’occurrence, la procureure a condamné le recourant à supporter l’entier de l’indemnité allouée à son conseil juridique gratuit en considérant, s’agissant du cas 3c, que le recourant avait, pour le moins par négligence grave, saisi l’autorité de poursuite pénale sur la base de soupçons sans fondement, en affirmant avoir été agressé, en même temps, par trois personnes, dont A.________ et B.R.________, alors que l’instruction avait établi que le premier nommé n’était pas présent et que le second nommé n’était intervenu que pour séparer le recourant et la personne avec qui il se battait. On ne saurait suivre ce raisonnement. Premièrement, le recourant ne saurait être condamné à supporter l’entier de l’indemnité d’office de son conseil alors qu’il a été condamné à ne supporter qu’une partie des frais et qu’il a été libéré de l’infraction de rixe notamment. Deuxièmement, si A.________ et B.R.________ n’ont certes finalement pas été inquiétés en raison des faits dénoncés par le recourant, on ne saurait retenir pour autant que celui-ci a provoqué par négligence grave l’ouverture de la procédure en les dénonçant à tort. L’ordonnance litigieuse retient un état de fait complexe. Ainsi, les altercations relatées dans les cas 1 à 3 se sont succédées. On relèvera en particulier que le recourant et A.________ sont également impliqués dans le cas 2c et que le cas 3c a eu lieu très peu de temps après. Dans la situation d’excitation générale, on ne peut exclure que le recourant, qui se trouvait à terre et qui venait avec son groupe d’en découdre avec celui de A.________ (cas 2c), ait pensé que ce dernier faisait partie de ses agresseurs. Une négligence grave sur ce point ne saurait être retenue. Quant à B.R.________, il est établi qu’il était présent et qu’il s’est interposé pour séparer le recourant et la personne avec laquelle il se battait. Là aussi, on ne peut exclure que le recourant, dans l’élan de la bagarre, se soit de bonne foi senti attaqué par B.R.________. Dans ce contexte, il n’a fait preuve d’aucune négligence grave en le dénonçant à tort. Troisièmement et enfin, comme il le soutient lui-même, B.I.________ a également le statut de victime dans le cadre de la présente procédure. L’art. 30 LAVI primant les dispositions du code de procédure pénale, les frais de son conseil juridique gratuit ne peuvent de toute façon pas être mis à sa charge. Par conséquent, c’est à tort que la procureure a considéré que les conditions d’application de l’art. 420 let. a CPP étaient réunies. Partant, le recours doit également être admis sur ce point.</w:t>
      </w:r>
    </w:p>
    <w:p>
      <w:r>
        <w:rPr>
          <w:b/>
        </w:rPr>
        <w:t>E. 4</w:t>
      </w:r>
    </w:p>
    <w:p>
      <w:r>
        <w:t>En définitive, le recours de A.I.________ doit être déclaré irrecevable, le recours de B.I.________ doit être admis et le chiffre VII du dispositif de l’ordonnance entreprise réformé dans le sens des considérants 2.3 et 3.3 qui précèdent. L’ordonnance sera confirmée pour le surplus. Vu l’admission du recours, les frais de la procédure, constitués en l'espèce du seul émolument d'arrêt, par 2’090 fr. (art. 20 al. 1 TFIP [Tarif des frais de procédure et indemnités en matière pénale du 28 septembre 2010 ; BLV 312.03.1]), seront laissés à la charge de l'Etat (art. 428 al. 4 CPP). Le recourant, qui a procédé avec l’assistance d’un avocat de choix et qui a obtenu gain de cause, a droit, de la part de l’Etat, à une indemnité pour les dépenses occasionnées par la procédure de recours. Il réclame à ce titre un montant de 3'330 fr. correspondant à une activité d’avocat de 8.83 heures, dont 7.5 heures consacrées à la rédaction du recours et une heure réservée pour des opérations futures, au tarif horaire de 350 francs. Au vu de la nature de l’affaire et du contenu du mémoire qui soulève trois moyens (violation de l’art. 426 al. 2 CP, violation de l’art. 420 al. 1 let. a CPP et violation de l’art. 30 al. 3 LAVI), ce décompte apparaît trop élevé. On peut admettre une activité nécessaire de 4,5 heures pour la rédaction du recours auxquelles peut s’ajouter une demi-heure pour les opérations annexes ayant trait à la correspondance. Par ailleurs, les questions juridiques soulevées par le recours ne sont pas d’une complexité telle qu’elles justifieraient l’application du tarif horaire maximal prévu par l’art. 26a al. 3 TFIP. En conséquence, l’indemnité allouée au recourant pour ses frais de défense sera fixée à 1'500 fr. (5 heures x 300 fr.), montant auquel il convient d’ajouter des débours forfaitaires à concurrence de 2 % des honoraires admis (art. 19 al. 2 TDC [Tarif des dépens en matière civile du 23 novembre 2010 ; BLV 270.11.6], applicable par renvoi de l’art. 26a al. 6 TFIP), par 30 fr., plus la TVA au taux de 7,7 %, par 117 fr. 80, soit à 1'648 fr. en chiffres arrondis. Par ces motifs, la Chambre des recours pénale prononce : I. Le recours de A.I.________ est irrecevable. II. Le recours de B.I.________ est admis. III. L’ordonnance du 13 octobre 2020 est réformée comme il suit au chiffre VII de son dispositif : VII. Laisse une partie des frais de procédure, arrêtée à 7'315 fr. 45, y compris l’indemnité d’ores et déjà perçue de 5'253 fr. 60, TVA et débours compris, allouée au conseil juridique gratuit de B.I.________, Me Anne-Claire Boudry, à la charge de l’Etat. L’ordonnance est confirmée pour le surplus. IV. Les frais d’arrêt, par 2’090 fr. (deux mille nonante francs), sont laissés à la charge de l’Etat. V. Une indemnité d’un montant de 1’648 fr. (mille six cent quarante-huit francs) est allouée à B.I.________ pour la procédure de recours, à la charge de l’Etat. VI. L’arrêt est exécutoire. Le président :               La greffière : Du Le présent arrêt, dont la rédaction a été approuvée à huis clos, est notifié, par l'envoi d'une copie complète, à : - Me Anne-Claire Boudry, avocate (pour B.I.________), - Mme A.I.________,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