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281 vom 17. März 2021</w:t>
      </w:r>
    </w:p>
    <w:p>
      <w:r>
        <w:t>VD Tribunal cantonal, 2021-03-17, FR</w:t>
      </w:r>
    </w:p>
    <w:p>
      <w:r>
        <w:rPr>
          <w:b/>
        </w:rPr>
        <w:t xml:space="preserve">Quelle: </w:t>
      </w:r>
      <w:r>
        <w:t>https://mcp.opencaselaw.ch/entscheid/vd_findinfo_D_cision___2021___281</w:t>
      </w:r>
    </w:p>
    <w:p>
      <w:r>
        <w:t>FR: VD_FINDINFO Décision / 2021 / 281 du 17 mars 2021</w:t>
      </w:r>
    </w:p>
    <w:p>
      <w:r>
        <w:t>IT: VD_FINDINFO Décision / 2021 / 281 del 17 marzo 2021</w:t>
      </w:r>
    </w:p>
    <w:p>
      <w:pPr>
        <w:pStyle w:val="Heading2"/>
      </w:pPr>
      <w:r>
        <w:t>Regeste</w:t>
      </w:r>
    </w:p>
    <w:p>
      <w:r>
        <w:t>DÉCISION DE RENVOI, ADMISSION DE LA DEMANDE, PREUVE ILLICITE, PREUVE SUBSÉQUENTE | 107 al. 2 LTF, 397 al. 2 CPP (CH)</w:t>
      </w:r>
    </w:p>
    <w:p>
      <w:pPr>
        <w:pStyle w:val="Heading2"/>
      </w:pPr>
      <w:r>
        <w:t>Erwägungen</w:t>
      </w:r>
    </w:p>
    <w:p>
      <w:r>
        <w:rPr>
          <w:b/>
        </w:rPr>
        <w:t>E. 1</w:t>
      </w:r>
    </w:p>
    <w:p>
      <w:r>
        <w:t>Dans son arrêt du 15 février 2021, le Tribunal fédéral a d’abord considéré qu’il fallait admettre que les lieux d’enregistrement des données litigieuses – à savoir la France, l’Allemagne, l’Espagne, les Pays-Bas, l’Albanie et le Kosovo – étaient établis (consid. 3.3). Il a ensuite relevé que, le Ministère public n’ayant pas requis d’autorisation par le biais de l’entraide préalablement aux opérations de surveillance opérées, ni n’ayant effectué une telle démarche dès le franchissement de la frontière ou dès la connaissance de l’arrivée du véhicule mis sous surveillance dans un autre pays, l’hypothèse du respect des règles sur l’entraide internationale en matière pénale, qui était l’une des conditions pour qu’une mesure de contrainte sur le territoire d’un autre Etat puisse être mise en œuvre, n’entrait pas en considération. L’exigence d’une requête « préalable » empêchait ainsi en l’occurrence la saisine des autorités étrangères ultérieurement à l’arrêt du Tribunal fédéral du 15 novembre 2019 afin de régulariser la situation. L’impossibilité, pour la Suisse, d’accorder la réciprocité aux autorités judiciaires étrangères qui auraient fait la même demande a posteriori , s’opposait à une telle démarche, conformément à l’art. 30 EIMP (Loi fédérale sur l’entraide internationale en matière pénale du 20 mars 1981 ; RS 351.1) (consid. 3.4.2). Partant, la seule possibilité pour pouvoir exploiter les données résultant des mesures de surveillance effectuées – « en l’état » illicites – était l’existence d’une norme de droit international autorisant leur mise en œuvre. Le Ministère public ne pouvait donc pas se dispenser d’établir le droit applicable puisqu’il s’agissait de l’unique voie permettant, le cas échéant, de considérer que les mesures entreprises puissent être licites (consid. 3.4.3). Après avoir relevé qu’il était admis que les éventuels enregistrements effectués au Kosovo et en Albanie étaient inexploitables, le Tribunal fédéral a retenu qu’aucun traité ou accord international n’autorisait, sans formalité particulière, des mesures secrètes de surveillance par le biais de moyens techniques sur le territoire d’un Etat étranger ou ne permettait de valider des mesures illicites plus de deux ans après leur mise en œuvre. Les données obtenues (conversations et localisations) – respectivement les découvertes fortuites pouvant en découler – en Allemagne, en France, en Espagne et aux Pays-Bas étaient donc illicites et devaient être immédiatement détruites, en application de l’art. 277 al. 1 CPP (Code de procédure pénale suisse du 5 octobre 2007 ; RS 312.0) (consid. 4). Enfin, le Tribunal fédéral a considéré qu’il ne lui appartenait pas de statuer en tant que première instance sur la problématique des preuves dites dérivées, et que la cause devait dès lors être renvoyée à l’autorité précédente pour qu’elle procède à l’examen des griefs soulevés en lien avec cette question s’agissant des pays concernés, celle-ci devant en particulier déterminer quelles étaient lesdites preuves et dans quelle mesure elles pouvaient être maintenues au dossier ou devaient en être écartées jusqu’à la clôture de la procédure (consid. 5).</w:t>
      </w:r>
    </w:p>
    <w:p>
      <w:r>
        <w:rPr>
          <w:b/>
        </w:rPr>
        <w:t>E. 2.1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Cela vaut notamment pour les points qui n’ont pas été critiqués par le recourant, alors qu’ils auraient pu l’être (Corboz, Commentaire de la LTF, 2 e éd., Berne 2014, n. 27 ad art. 107 LTF).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loc. cit. ; Moreillon/Parein-Reymond, Code de procédure pénale, Petit commentaire, 2 e éd., Bâle 2016, n. 4 ad art. 397 CPP et les réf. citées).</w:t>
      </w:r>
    </w:p>
    <w:p>
      <w:r>
        <w:rPr>
          <w:b/>
        </w:rPr>
        <w:t>E. 2.2</w:t>
      </w:r>
    </w:p>
    <w:p>
      <w:r>
        <w:t>En l’espèce, il convient, suivant en cela l’ensemble des conclusions prises par les parties dans leurs déterminations ainsi que celles du Procureur, d’annuler l’ordonnance du 24 avril 2020 et de renvoyer la cause au Ministère public de l’arrondissement de l’Est vaudois, afin qu’il procède conformément aux considérants de l’arrêt du Tribunal fédéral du 15 février 2021 en détruisant les données de localisation et les conversations enregistrées effectuées par le biais de dispositifs techniques de surveillance en Allemagne, en France, en Espagne et aux Pays-Bas, puis en examinant les griefs des parties en lien avec les preuves dérivées de ces données illicites, en les identifiant et en déterminant, conformément à l’art. 141 al. 4 et 5 CPP, dans quelle mesure elles peuvent être maintenues au dossier ou doivent en être écartées jusqu’à la clôture de la procédure. Un tel renvoi se justifie dès lors que le Ministère public est l’autorité en charge de l’instruction et que le travail de tri à effectuer, conséquent et complexe, lui incombe ainsi en premier lieu. A cet égard, on relève que le Procureur a déjà identifié les données (conversations et localisations) recueillies à l’étranger et mandaté la police en vue de l’établissement d’un nouveau rapport final n’en tenant pas compte. Il a en outre indiqué dans ses déterminations avoir déjà commencé l’examen et le tri des pièces et procès-verbaux afin d’identifier les preuves dérivées. Une fois ces tâches terminées, il lui appartiendra, après avoir interpellé les parties, de rendre une nouvelle décision.</w:t>
      </w:r>
    </w:p>
    <w:p>
      <w:r>
        <w:rPr>
          <w:b/>
        </w:rPr>
        <w:t>E. 3.1</w:t>
      </w:r>
    </w:p>
    <w:p>
      <w:r>
        <w:t>En définitive, les recours doivent être admis, l’ordonnance attaquée annulée et le dossier de la cause renvoyé au Ministère public, pour qu’il procède dans le sens des considérants du Tribunal fédéral.</w:t>
      </w:r>
    </w:p>
    <w:p>
      <w:r>
        <w:rPr>
          <w:b/>
        </w:rPr>
        <w:t>E. 3.2</w:t>
      </w:r>
    </w:p>
    <w:p>
      <w:r>
        <w:t>Vu l’issue de la cause, les frais de la procédure de recours seront laissés à la charge de l’Etat (art. 428 al. 4 CPP). Dans leurs déterminations respectives, les défenseurs de B.T.________, E.T.________ et A.T.________ ont conclu à ce qu’il soit statué à nouveau sur leur indemnité d’office s’agissant des opérations effectuées jusqu’à l’arrêt annulé de la Chambre de céans du 15 mai 2020. Il n’y a toutefois pas lieu d’entrer en matière sur ces conclusions, dès lors que les prénommés n’ont articulé aucun grief contre la quotité de leur indemnité dans leur recours auprès du Tribunal fédéral, alors qu’ils auraient été en mesure de le faire. Leurs conclusions au Tribunal fédéral sur les frais et dépens étaient accessoires par rapport au fond. Il n’y a dès lors lieu de statuer à nouveau sur les frais et dépens que pour tirer les conséquences, sur ces questions, de l’admission du recours sur l’exploitabilité des preuves (soit sur le principal). Les frais de la procédure de recours postérieure à l’arrêt du Tribunal fédéral sont constitués de l’émolument du présent arrêt, par 1'650 fr. (art. 20 al. 1 TFIP [Tarif des frais de procédure et indemnités en matière pénale du 28 septembre 2010 ; BLV 312.03.1]), ainsi que des indemnités dues aux défenseurs d’office des parties (art. 422 al. 1 et 2 let. a CPP), qui seront fixées, en fonction des déterminations déposées : - à 450 fr. (2 heures et 30 minutes à 180 fr.), auxquels il y a lieu d’ajouter des débours forfaitaires à concurrence de 2 % (art. 3bis al. 1 RAJ [Règlement sur l’assistance judiciaire en matière civile du 7 décembre 2010 ; BLV 211.02.3], applicable par renvoi de l’art. 26b TFIP), par 9 fr., et la TVA, par 35 fr. 35, soit à 494 fr. 35 au total – montant qu’il convient d’arrondir à 495 fr., pour Me Jérôme Campart, défenseur d’office de B.T.________ ; - à 180 fr. (1 heure), auxquels il y a lieu d’ajouter des débours forfaitaires à concurrence de 2 %, par 3 fr. 60, et la TVA, par 14 fr. 15, soit à 197 fr. 75 au total – montant qu’il convient d’arrondir à 198 fr., pour Me Antonella Cereghetti, défenseur d’office d’E.T.________ ; - à 90 fr. (30 minutes), auxquels il y a lieu d’ajouter des débours forfaitaires à concurrence de 2 %, par 1 fr. 80, et la TVA, par 7 fr. 05, soit à 98 fr. 85 au total – montant qu’il convient d’arrondir à 99 fr., pour Me Ludovic Tirelli, défenseur d’office d’A.T.________ ; - à 60 fr. (20 minutes), auxquels il y a lieu d’ajouter des débours forfaitaires à concurrence de 2 %, par 1 fr. 20, et la TVA, par 4 fr. 70, soit à 65 fr. 90 au total – montant qu’il convient d’arrondir à 66 fr., pour Me David Abikzer, défenseur d’office de C.T.________ ; - à 60 fr. (20 minutes), auxquels il y a lieu d’ajouter des débours forfaitaires à concurrence de 2 %, par 1 fr. 20, et la TVA, par 4 fr. 70, soit à 65 fr. 90 au total – montant qu’il convient d’arrondir à 66 fr., pour Me Christophe Tafelmacher, défenseur d’office de K.________. Pour les conseils des trois recourants, ces montants devront être ajoutés à ceux qui leur ont déjà été alloués pour les opérations antérieures à l’arrêt du 15 mai 2020. Les défenseurs d’office d’F.________ et de D.________ ayant renoncé à se déterminer, aucune indemnité ne leur sera allouée. Par ces motifs, la Chambre des recours pénale prononce : I. Les recours sont admis. II. L’ordonnance du 24 avril 2020 est annulée. III. Le dossier de la cause est renvoyé au Ministère public de l’arrondissement de l’Est vaudois pour qu’il procède dans le sens des considérants. IV. L’indemnité allouée à Me Jérôme Campart, défenseur d’office de B.T.________, est fixée à 1'681 fr. (mille six cent huitante et un francs). V. L’indemnité allouée à Me Antonella Cereghetti, défenseur d’office d’E.T.________, est fixée à 989 fr. (neuf cent huitante-neuf francs). VI. L’indemnité allouée à Me Ludovic Tirelli, défenseur d’office d’A.T.________, est fixée à 890 fr. (huit cent nonante francs). VII. L’indemnité allouée à Me David Abikzer, défenseur d’office de C.T.________, est fixée à 66 fr. (soixante-six francs). VIII. L’indemnité allouée à Me Christophe Tafelmacher, défenseur d’office de K.________, est fixée à 66 fr. (soixante-six francs). IX. Les frais de la procédure de recours, par 1'650 fr. (mille six cent cinquante francs), ainsi que les indemnités allouées aux défenseurs d’office sous chiffres IV à VIII ci-dessus, sont laissés à la charge de l’Etat. X. L’arrêt est exécutoire. Le président : La greffière : Du Le présent arrêt, dont la rédaction a été approuvée à huis clos, est notifié, par l'envoi d'une copie complète, à : - Me Jérôme Campart, avocat (pour B.T.________), - Me Antonella Cereghetti, avocate (pour E.T.________), - Me Ludovic Tirelli, avocat (pour A.T.________), - Me David Abikzer, avocat (pour C.T.________), - Me Fabien Mingard, avocat (pour F.________), - Me Christophe Tafelmacher, avocat (pour K.________), - Me Cléa Bouchat, avocate (pour D.________), - Ministère public central, et communiqué à : - M. le Procureur de l’arrondissement de l’Est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