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27 vom 8. Januar 2021</w:t>
      </w:r>
    </w:p>
    <w:p>
      <w:r>
        <w:t>VD Tribunal cantonal, 2021-01-08, FR</w:t>
      </w:r>
    </w:p>
    <w:p>
      <w:r>
        <w:rPr>
          <w:b/>
        </w:rPr>
        <w:t xml:space="preserve">Quelle: </w:t>
      </w:r>
      <w:r>
        <w:t>https://mcp.opencaselaw.ch/entscheid/vd_findinfo_D_cision___2021___27</w:t>
      </w:r>
    </w:p>
    <w:p>
      <w:r>
        <w:t>FR: VD_FINDINFO Décision / 2021 / 27 du 8 janvier 2021</w:t>
      </w:r>
    </w:p>
    <w:p>
      <w:r>
        <w:t>IT: VD_FINDINFO Décision / 2021 / 27 del 8 gennaio 2021</w:t>
      </w:r>
    </w:p>
    <w:p>
      <w:pPr>
        <w:pStyle w:val="Heading2"/>
      </w:pPr>
      <w:r>
        <w:t>Regeste</w:t>
      </w:r>
    </w:p>
    <w:p>
      <w:r>
        <w:t>DÉTENTION POUR DES MOTIFS DE SÛRETÉ, RISQUE DE RÉCIDIVE, PROPORTIONNALITÉ, MESURE DE SUBSTITUTION À LA DÉTENTION, REJET DE LA DEMANDE, DROIT D'ÊTRE ENTENDU | 212 al. 3 CPP (CH), 221 al. 1 let. c CPP (CH)</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le recours a été interjeté en temps utile et dans les formes prescrites (cf. art. 385 al. 1 CPP) par un détenu qui a qualité pour recourir (art. 382 CPP), de sorte qu’il est recevable.</w:t>
      </w:r>
    </w:p>
    <w:p>
      <w:r>
        <w:rPr>
          <w:b/>
        </w:rPr>
        <w:t>E. 2</w:t>
      </w:r>
    </w:p>
    <w:p>
      <w:r>
        <w:t>CPP). L’art. 229 al. 1 CPP prévoit que, sur demande écrite du Ministère public, le Tribunal des mesures de contrainte statue sur la détention pour des motifs de sûreté lorsqu'elle fait suite à une détention provisoire. En vertu de l’art. 228 al. 1 CPP, applicable par renvoi de l’art. 230 al. 5 CPP, le prévenu peut en outre présenter en tout temps une demande de libération de la détention pour des motifs de sûreté. Cette demande doit être admise si les conditions de la détention avant jugement ne sont pas ou plus remplies.</w:t>
      </w:r>
    </w:p>
    <w:p>
      <w:r>
        <w:rPr>
          <w:b/>
        </w:rPr>
        <w:t>E. 2.1</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et 3.2 ; TF 1B_291/2020 du 25 juin 2020 consid. 3.1).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consid. 2.2 ; TF 6B_196/2020 précité consid. 2.1). Dès lors que l'on peut discerner les motifs qui ont guidé la décision de l'autorité, le droit à une décision motivée est respecté, même si la motivation présentée est erronée (ATF 141 V 557 consid. 3.2.1 ; TF 6B_196/2020 précité consid. 2.1). La motivation peut d'ailleurs être implicite et résulter des différents considérants de la décision (ATF 141 IV 557 consid. 3.2.1 ; TF 6B_179/2020 du 18 mai 2020 consid. 1.2). En matière de détention provisoire et de détention pour des motifs de sûreté, une motivation par renvoi à de précédentes décisions est admissible pour autant que le recourant soit à même de faire valoir efficacement ses objections. Dans tous les cas, il faut que les motifs auxquels il est renvoyé soient développés de manière suffisante au vu des exigences du droit d'être entendu garanti par l’art. 29 al. 2 Cst. et que l’instruction de la cause n’ait pas évolué de manière déterminante depuis la précédente décision (TF 1B_247/2015 du 4 août 2015 consid. 2 ; TF 1B_149/2010 du 1 er juin 2010 consid. 1.3 et les références citées ; CREP 27 mars 2019/243 consid. 4.2.1 ; CREP 23 août 2018/645 consid. 3.3 ; CREP 20 mai 2017/185 consid. 2.3 et CREP 17 mai 2016/320 consid. 2.2.3).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La Chambre des recours pénale dispose d'un tel pouvoir d'examen, permettant de guérir le vice procédural invoqué (art. 398 al. 2 CPP ; TF 6B_1239/2020 du 2 décembre 2020 consid. 6 et les réf. cit.).</w:t>
      </w:r>
    </w:p>
    <w:p>
      <w:r>
        <w:rPr>
          <w:b/>
        </w:rPr>
        <w:t>E. 3.3</w:t>
      </w:r>
    </w:p>
    <w:p>
      <w:r>
        <w:t>En l’espèce, dans l’ordonnance du 22 décembre 2020, le Tribunal des mesures de contrainte renvoie à la précédente ordonnance du 7 décembre 2020. Or, celle-ci procède également par renvoi à une ordonnance précédente, de sorte que l’ordonnance querellée ne contient pas de motifs « développés de manière suffisante » au sens de la jurisprudence précitée. Partant, de ce point de vue, force est de constater que le droit d’être entendu du recourant a été violé. Toutefois, cela n’a pas d’incidence, vu que le recourant a bien compris à quelles ordonnances il était fait référence, soit en particulier à celles des 27 octobre et 7 août 2020, qu’aucune circonstance de nature à justifier une nouvelle appréciation de la situation depuis lors n’est donnée in casu et que la Chambre des recours pénale, qui dispose d’un pouvoir d’examen complet, peut réparer le vice constaté.</w:t>
      </w:r>
    </w:p>
    <w:p>
      <w:r>
        <w:rPr>
          <w:b/>
        </w:rPr>
        <w:t>E. 4.1</w:t>
      </w:r>
    </w:p>
    <w:p>
      <w:r>
        <w:t>La détention provisoire et la détention pour des motifs de sûreté supposent que le prévenu soit fortement soupçonné d'avoir commis un crime ou un délit (art. 221 al. 1 CPP).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w:t>
      </w:r>
    </w:p>
    <w:p>
      <w:r>
        <w:rPr>
          <w:b/>
        </w:rPr>
        <w:t>E. 4.2</w:t>
      </w:r>
    </w:p>
    <w:p>
      <w:r>
        <w:t>Dans le cas d’espèce, il ressort de l’acte d’accusation que le prévenu est soupçonné de s’être adonné, entre août 2017 et mars 2018, à un important trafic de cocaïne, d’avoir, entre fin 2017 et décembre 2019, mis à disposition de mineurs des produits stupéfiants et d’autres substances pouvant mettre en danger leur santé, d’avoir commis, pendant cette même période, des actes d’ordre sexuel avec des enfants et des personnes dépendantes et d’avoir, entre octobre 2017 et avril 2019, commis diverses infractions contre le patrimoine . Ces soupçons sont suffisants à la lumière de l’art. 221 al. 1 CPP et le recourant ne les conteste d’ailleurs pas, à juste titre puisqu’il fait l’objet d’un acte d’accusation, démontrant que l’enquête a réuni suffisamment d’éléments pour soumettre la cause à une autorité de jugement. Le prévenu a au demeurant expressément admis une partie des faits qui lui sont reprochés, notamment s’être adonné à un trafic de cocaïne (PV aud. du 12 avril 2019, lignes 34 ss), avoir entretenu des relations sexuelles avec des mineures âgées de 16 à 18 ans, psychologiquement vulnérables, avec lesquelles il avait développé un lien de confiance et/ou de dépendance, avoir commis des attouchements sexuels sur une enfant de moins de 16 ans et avoir organisé des soirées festives à son domicile, au cours desquelles il mettait à disposition d’enfants de moins de 16 ans des produits stupéfiants et de l’alcool (PV aud du 2 décembre 2019, lignes 68 ss ; PV aud. du 29 juillet 2020, R. 17). L’exigence de soupçons suffisants de commission d’un crime ou d’un délit est donc respectée.</w:t>
      </w:r>
    </w:p>
    <w:p>
      <w:r>
        <w:rPr>
          <w:b/>
        </w:rPr>
        <w:t>E. 5.1</w:t>
      </w:r>
    </w:p>
    <w:p>
      <w:r>
        <w:t>Le recourant conteste l’existence d’un risque de collusion ou de réitération. Concernant le risque de réitération, il fait valoir, d’une part, qu’il n’a jamais été condamné pour des infractions à caractère sexuel, et d’autre part, qu’il ne dispose plus de la maison à [...] mais qu’à sa sortie de prison, il serait hébergé vraisemblablement dans une cha mbre d’hôtel par la Fondation vaudoise de probation, de sorte qu’il ne serait pas dans son intérêt, ni même ne lui serait possible d’organiser des soirées festives au cours desquelles les agissements qui lui sont reprochés pourraient être réitérés. Selon lui, il n’existe pas non plus de risque de récidive lié à son état de santé puisqu’il ne souffre d’aucune pathologie psychique, comme cela relève de l’attestation médicale du 30 octobre 2020.</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1B_545/2020 du 18 novembre 2020 consid. 3.1). Pour ce motif, le risque de récidive peut également se fonder sur les infractions faisant l'objet de la procédure pénale en cours, si le prévenu est fortement soupçonné – avec une probabilité confinant à la certitude – de les avoir commises (ATF 143 IV 9 consid. 2.3.1 ; TF 1B_545/2020 précité consid. 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 TF 1B_545/2020 précité consid. 3.1). Dans ce contexte, il faut se montrer plus sévère à l’égard des infractions commises contre des personnes nécessitant une protection particulière, en particulier les enfants (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délictueuse, une escalade de la violence ou une augmentation de la fréquence des agissements. Les caractéristiques personnelles du prévenu doivent en outre être évaluées (ATF 143 IV 9 consid. 3.2 ; TF 1B_545/2020 précité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précité consid. 3.1). S’agissant plus spécifiquement des infractions contre le patrimoine, la jurisprudence récente du Tribunal fédéral délimite strictement les conditions pour détenir provisoirement un prévenu en raison de l’existence d’un risque de réitération (ATF 146 IV 136 consid. 2.3; TF 1B_43/2020 du 14 février 2020 consid. 2 ; TF 1B_112/2020 du 20 mars 2020 consid. 3 ; TF 1B_595/2019 du 10 janvier 2020, RSJ 7/2020 pp. 248 s.).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et réf. cit. ; ATF 143 IV 9 consid. 2.7; cf. aussi CREP 16 juillet 2020/553 consid. 3.2.1 et réf. cit.). Tel est le cas des infractions de vol par métier ou en bande lorsque de nombreux cas sont en jeu, ou de vols par effraction vu le risque de dérapage violent pouvant survenir lors de confrontation avec les victimes, notamment lorsque le voleur cherche à se procurer de la drogue (TF 1B_32/2017 du 4 mai 2017 consid. 3.3.5 et réf. cit. ; CREP 21 janvier 2020/29 ; CREP 1 er mai 2018/316).</w:t>
      </w:r>
    </w:p>
    <w:p>
      <w:r>
        <w:rPr>
          <w:b/>
        </w:rPr>
        <w:t>E. 5.3</w:t>
      </w:r>
    </w:p>
    <w:p>
      <w:r>
        <w:t>En l’espèce, si les atteintes au patrimoine dont le recourant est soupçonné n’atteignent pas un degré de gravité suffisant pour justifier son maintien en détention pour des motifs de sûreté, au vu de la jurisprudence précitée, et ce malgré des antécédents dans le même domaine d’infractions, force est toutefois de constater que le prévenu se voit reprocher, outre une infraction grave à la LStup, des actes graves d’autres genres que celles sanctionnées précédemment, soit des actes d’ordre sexuel sur des enfants et des personnes dépendantes, qu’il admet d’ailleurs lui-même en partie. Ces attouchements sexuels auraient été commis sur plusieurs jeunes filles mineures ou psychologiquement vulnérables, dont certaines étaient en rupture sociale et/ou en fugue et avec lesquelles le prévenu avait développé un lien de confiance et/ou de dépendance. La multiplicité et la gravité de ces actes à caractère sexuel, commis à l’occasion de soirées festives organisées au domicile du prévenu, démontrent son intérêt pour les jeunes filles ou les personnes sur lesquelles il peut exercer un ascendant, même s’il a eu des compagnes plus âgées. Certains actes auraient été commis alors même qu’il avait reçu des avertissements. En effet, bien qu’entendu par la police et la procureure dès avril 2019 et tandis qu’il savait qu’il faisait l’objet d’une enquête et qu’il avait lui-même déclaré qu’il avait « peur que des mineurs mentent en disant qu’elles ont couché avec [lui], juste pour [l’]embêter » (PV aud. du 25 juin 2019, R. 26), il n’a pas hésité à reprendre ses activités festives, auxquelles des mineurs ont continué à participer (PV aud. du 4 décembre 2019, lignes 134 et 135), et a admis avoir commis, à une de ces occasions, soit dans la nuit du 30 novembre au 1 er décembre 2019, des actes d’ordre sexuel sur une mineure de moins de 16 ans, celle-ci ayant d’ailleurs été retrouvée par la police sous l’emprise de l’alcool et de THC dans le lit du prévenu, lors de la perquisition du 1 er décembre 2019 (PV aud. du 1 er décembre 2019, R. 19 ; PV aud. du 29 juillet 2020, R. 17). Ainsi, s’il peut être donné acte au recourant qu’il n’a jamais été condamné pour des infractions à caractère sexuel, les actes de cette nature qui lui sont reprochés aujourd’hui sont toutefois graves, comme on vient de le relever, et ont visé des personnes nécessitant une protection particulière. Compte tenu de ces éléments, les derniers faits ayant en particulier eu lieu durant l’enquête en dépit des avertissements reçus, force est de constater que le risque de réitération d’actes contre l’intégrité sexuelle présenté par le recourant est suffisamment important et concret pour justifier son maintien en détention pour des motifs de sûreté. Le fait que l’organisation de soirées festives soit plus difficile dans la mesure où il ne bénéficie plus d’un grand appartement et que la pandémie actuelle impose des restrictions n’est pas suffisant pour considérer que ce risque n’est pas concret. Il en va de même du fait qu’il ne souffre, selon ses dires, d’aucune pathologie psychique, selon ce qui ressortirait de l’attestation du 30 octobre 2020. Au vu de ses auditions, le recourant ne paraît d’ailleurs pas avoir réellement pris conscience de la gravité de ses actes et ladite attestation indique uniquement à ce propos que l’intéressé « essaye de réfléchir à sa situation et à ce qui l’a amené en prison ». Enfin, sa volonté de s’engager dans une nouvelle formation n’est pas suffisante pour pallier le risque de réitération, d’autant que le recourant ne travaillait pas et ne suivait pas de formation précédemment. La réalisation de l’une des conditions de l’art. 221 al. 1 let. a à c CPP étant suffisante pour justifier la détention pour des motifs de sûreté, l’existence d’un risque de réitération dispense la Chambre de céans d’examiner si celle-ci s’impose également en raison d’un risque de collusion.</w:t>
      </w:r>
    </w:p>
    <w:p>
      <w:r>
        <w:rPr>
          <w:b/>
        </w:rPr>
        <w:t>E. 6.1</w:t>
      </w:r>
    </w:p>
    <w:p>
      <w:r>
        <w:t>Invoquant une violation du principe de la proportionnalité, le recourant demande la mise en œuvre, en lieu et place de la détention pour des motifs de sûreté, de mesures de substitution prenant la forme d’une interdiction de s’approcher ou de prendre contact de quelque manière que ce soit avec les personnes à désigner par la direction de la procédure, d’un pointage régulier auprès d’un poste de police à désigner, du port d’un bracelet électronique et/ou de toute autre mesure que l’autorité de céans jugerait proportionnée.</w:t>
      </w:r>
    </w:p>
    <w:p>
      <w:r>
        <w:rPr>
          <w:b/>
        </w:rPr>
        <w:t>E. 6.2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w:t>
      </w:r>
    </w:p>
    <w:p>
      <w:r>
        <w:rPr>
          <w:b/>
        </w:rPr>
        <w:t>E. 6.3</w:t>
      </w:r>
    </w:p>
    <w:p>
      <w:r>
        <w:t>En l’espèce, contrairement à ce que prétend le recourant, aucune des mesures proposées, même ordonnées cumulativement, n’est à même de parer au risque de réitération, compte tenu en particulier des infractions à caractère sexuel dont le prévenu paraît s’être rendu coupable, la dernière fois en dépit de mises en garde. En particulier, la mesure de substitution proposée à titre subsidiaire tendant à ce que tout contact entre le recourant et des personnes « à désigner par la direction de la procédure » soit interdit, n’est pas suffisante au regard des intérêts en jeu que sont l’intégrité sexuelle et l’intégrité corporelle, le respect de cette condition dépendant de toute manière du bon vouloir des intéressés. Elle l’est d’autant moins au vu de la teneur des correspondances qui ont été adressées au recourant par ses ami(e)s durant sa détention (P. 119/2.7 [« j’attends que ta sortie pour fêter ça comme il se doit » ; « on va fêter fort ta sortie » ]), d’une part, et des nombreux antécédents du recourant, propres à démontrer qu’on ne saurait ne se fier qu’à sa parole pour respecter le bien d’autrui, d’autre part. La Chambre de céans ne voit au demeurant pas quelles autres mesures pourraient être ordonnées pour parer valablement au risque retenu.</w:t>
      </w:r>
    </w:p>
    <w:p>
      <w:r>
        <w:rPr>
          <w:b/>
        </w:rPr>
        <w:t>E. 7.1</w:t>
      </w:r>
    </w:p>
    <w:p>
      <w:r>
        <w:t>Le recourant fait encore valoir que la durée de la détention subie à ce jour ne serait pas conforme au principe de la proportionnalité. Il cite plusieurs exemples d’affaires jugées par la Cour d’appel pénale qu’il estime similaires, où les peines infligées ont été de l’ordre de 9 à 20 mois, toutes avec sursis.</w:t>
      </w:r>
    </w:p>
    <w:p>
      <w:r>
        <w:rPr>
          <w:b/>
        </w:rPr>
        <w:t>E. 7.2.1</w:t>
      </w:r>
    </w:p>
    <w:p>
      <w:r>
        <w:t>En vertu des art. 31 al. 3 Cst. et 5 par. 3 CEDH, toute personne qui est mise en détention préventive a le droit d'être jugée dans un délai raisonnable ou d'être libérée pendant la procédure pénale. L'art. 212 al. 3 CPP prévoit que la détention provisoire et la détention pour des motifs de sûreté ne doivent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(ATF 145 IV 179 consid. 3.4, JdT 2020 IV 3 ; ATF 143 IV 168 consid. 5.1) ; pour entrer en considération sur cette dernière hypothèse, son octroi doit être d'emblée évident (ATF 143 IV 160 consid. 4.2 ; TF 1B_598/2020 du 17 décembre 2020 consid. 6.1 ; TF 1B_571/2019 du 19 décembre 2019 consid. 4.1).</w:t>
      </w:r>
    </w:p>
    <w:p>
      <w:r>
        <w:rPr>
          <w:b/>
        </w:rPr>
        <w:t>E. 7.2.2</w:t>
      </w:r>
    </w:p>
    <w:p>
      <w:r>
        <w:t>Compte tenu des nombreux paramètres entrant en considération lors de la fixation de la peine – prérogative appartenant au demeurant au juge du fond – et du principe d'individualisation en la matière (cf. art. 47 CP), aucune conclusion absolue quant à la quotité de la peine qui pourrait être prononcée ne peut être tirée de la comparaison avec d'autres affaires (ATF 141 IV 61 consid. 6.3.2 ; TF 1B_185/2020 du 29 avril 2020 consid. 4.1 et 4.2).</w:t>
      </w:r>
    </w:p>
    <w:p>
      <w:r>
        <w:rPr>
          <w:b/>
        </w:rPr>
        <w:t>E. 7.3</w:t>
      </w:r>
    </w:p>
    <w:p>
      <w:r>
        <w:t>En l’espèce, le recourant est détenu depuis le 1 er décembre 2019, soit depuis 405 jours (respectivement 416 jours au moment de la notification du présent arrêt). Compte tenu du grand nombre d’infractions reprochées, dont les plus graves sont passibles d’une peine privative de liberté de 5 ans (cf. art. 139 ch. 1, 146 al. 1, 147 al. 1 et 187 ch. 1 CP), respectivement d’au moins 1 an (cf. art. 19 al. 2 let. a et b LStup), du concours entre celles-ci et des antécédents du recourant, la peine privative de liberté encourue est supérieure à la détention que l’intéressé aura subie à la date de l’audience de jugement, fixée aux 9 et 10 mars prochains, de sorte que le principe de proportionnalité est respecté. En outre, en vertu du principe d’individualisation de la fixation de la peine, aucune comparaison ne saurait être faite entre la présente affaire et celles jugées par la Cour d’appel pénale, cela d’autant moins que le recourant, en sus d’être soupçonné d’infractions contre le patrimoine et d’infraction grave à la LStup, s’en serait pris à l’intégrité corporelle et/ou à l’intégrité sexuelle de plusieurs personnes, ce qui n’est pas le cas dans les affaires évoquées par celui-ci. En particulier, le fait que le prévenu n’ait jamais été condamné précédemment pour des actes d’ordre sexuel ne permet pas de retenir que la peine d’ensemble en cas de soupçons avérés ne serait pas supérieure à six mois, comme il le prétend, et que cette peine serait manifestement assortie d’un sursis.</w:t>
      </w:r>
    </w:p>
    <w:p>
      <w:r>
        <w:rPr>
          <w:b/>
        </w:rPr>
        <w:t>E. 8</w:t>
      </w:r>
    </w:p>
    <w:p>
      <w:r>
        <w:t>Il résulte de ce qui précède que le recours, manifestement mal fondé, doit être rejeté sans échange d'écritures (art. 390 al. 2 CPP) et l'ordonnance entreprise confirmée. Dans sa liste d’opérations du 5 janvier 2021, le défenseur d’office de Z.________ fait état de 16,2 heures de travail, comprenant 8 heures de travail d’avocat-stagiaire. Ce total est manifestement exagéré. Au vu de la nature de l’affaire et compte tenu du fait, d’une part, que les arguments invoqués dans le recours sont repris dans une large mesure d’autres écritures et que la formation du stagiaire n’a pas à être prise en charge par le client et, d’autre part, que la constitution d’un bordereau et d’une lettre d’accompagnement ainsi que leur transmission au client sont de pur travaux de secrétariat qui ne doivent pas être pris en considération, l’indemnité allouée au défenseur d’office de Z.________ sera fixée à 1'080 fr., correspondant à une activité nécessaire d’avocat de 6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21 fr. 60, plus la TVA au taux de 7,7 %, par 84 fr. 80, soit à 1'186 fr. 40 au total, montant arrondi à 1'187 francs. Vu le sort du recours, les frais de la procédure, constitués en l’espèce de l’émolument d'arrêt, par 2'200 fr. (art. 20 al. 1 TFIP), et des frais imputables à la défense d’office de Z.________ (art. 422 al. 1 et 2 let. a CPP), fixés à 1'187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22 décembre 2020 est confirmée. III. L’indemnité allouée au défenseur d’office de Z.________ est fixée à 1'187 fr. (mille cent huitante-sept francs). IV. Les frais d’arrêt, par 2'200 fr. (deux mille deux cents francs), ainsi que l’indemnité due au défenseur d’office du recourant, par 1'187 fr. (mille cent huitante-sept francs), sont mis à la charge de Z.________. V. Le remboursement à l’Etat de l’indemnité allouée au chiffre III ci-dessus ne sera exigible que pour autant que la situation financière de Z.________ le permette. VI. L’arrêt est exécutoire. Le président :               Le greffier : Du Le présent arrêt, dont la rédaction a été approuvée à huis clos, est notifié, par l'envoi d'une copie complète, à : - Me Valentin Marmillod (pour Z.________), - Ministère public central, et communiqué à : ‑ M. le Président du Tribunal des mesures de contrainte, ‑ Mme la Procureure cantonale Strada, ‑ Prison du Bois-Mermet, ‑ Me Fabien Mingard (pour [...]), ‑ Me Mireille Loroch (pour [...]),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