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262 vom 15. März 2021</w:t>
      </w:r>
    </w:p>
    <w:p>
      <w:r>
        <w:t>VD Tribunal cantonal, 2021-03-15, FR</w:t>
      </w:r>
    </w:p>
    <w:p>
      <w:r>
        <w:rPr>
          <w:b/>
        </w:rPr>
        <w:t xml:space="preserve">Quelle: </w:t>
      </w:r>
      <w:r>
        <w:t>https://mcp.opencaselaw.ch/entscheid/vd_findinfo_D_cision___2021___262</w:t>
      </w:r>
    </w:p>
    <w:p>
      <w:r>
        <w:t>FR: VD_FINDINFO Décision / 2021 / 262 du 15 mars 2021</w:t>
      </w:r>
    </w:p>
    <w:p>
      <w:r>
        <w:t>IT: VD_FINDINFO Décision / 2021 / 262 del 15 marzo 2021</w:t>
      </w:r>
    </w:p>
    <w:p>
      <w:pPr>
        <w:pStyle w:val="Heading2"/>
      </w:pPr>
      <w:r>
        <w:t>Regeste</w:t>
      </w:r>
    </w:p>
    <w:p>
      <w:r>
        <w:t>CITATION À COMPARAÎTRE | 205 CPP (CH), 355 al. 2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Niggli/Heer/Wiprächtiger [édit.], Basler Kommentar, Schweizerische Strafprozessordnung, 2 e éd., Bâle 2014, n. 5 ad art. 355 CPP ; Schwarzenegger, in Donatsch/Hansjakob/Lieber [édit.], Kommentar zur Schweizerischen Strafprozessordnung, 2 e éd., Zurich/Bâle/ Genève 2014, n. 2 ad art. 355 CPP ; CREP 15 janvier 2021/40 consid. 1.2).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En l’espèce, interjeté en temps utile par la prévenue qui a qualité pour recourir (art. 382 al. 1 CPP), et satisfaisant aux exigences de forme (art. 385 al. 1 CPP), le recours est recevable.</w:t>
      </w:r>
    </w:p>
    <w:p>
      <w:r>
        <w:rPr>
          <w:b/>
        </w:rPr>
        <w:t>E. 2.1</w:t>
      </w:r>
    </w:p>
    <w:p>
      <w:r>
        <w:t>La recourante fait valoir qu’elle n’a pas pu assister à l’audience du 12 novembre 2020 car elle était souffrante. Elle offre pour preuve le certificat médical produit en annexe de son recours. Elle en conclut que son état de santé ne lui permettait pas de se déplacer ce jour-là.</w:t>
      </w:r>
    </w:p>
    <w:p>
      <w:r>
        <w:rPr>
          <w:b/>
        </w:rPr>
        <w:t>E. 2.2.1</w:t>
      </w:r>
    </w:p>
    <w:p>
      <w:r>
        <w:t>Aux termes de l'art. 355 CPP, en cas d'opposition, le Ministère public administre les autres preuves nécessaires au jugement de l'opposition (al. 1). Si l'opposant, sans excuse, fait défaut à une audition malgré une citation, son opposition est réputée retirée (al. 2).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 l'art. 355 al. 2 CPP peut conduire à la perte totale de la protection légale, alors même que la personne concernée a expressément formé opposition, revendiquant ainsi précisément cette protection légale devant les autorités compétentes (ATF 142 IV 158 consid. 3.2 ; ATF 140 IV 82 consid. 2.4, JdT 2014 IV 301). Selon une interprétation conforme à la Constitution et compte tenu de l'importance fondamentale que revêt le droit d'opposition, la fiction légale du retrait prévue par l'art. 355 al. 2 CPP ne peut ainsi s'appliquer que si l'on peut déduire de bonne foi (art. 3 al. 2 let. a CPP) du comportement général de la personne concernée et de son désintérêt pour la suite de la procédure pénale qu'elle a renoncé en connaissance de cause à la protection dont elle jouit en vertu de la loi (ATF 142 IV 158 consid. 3.1 et 3.3 ; ATF 140 IV 82 consid. 2.5 ; TF 6B_945/2019 du 4 septembre 2019 consid. 1.1 ; TF 6B_207/2019 du 13 juin 2029 consid. 3.1). La jurisprudence a toutefois précisé que l'art. 355 al. 2 CPP ne saurait être interprété de sorte à permettre au condamné de choisir la manière dont sa cause sera traitée. Ce dernier ne peut ainsi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(TF 6B_207/2019, déjà cité, consid. 3.1 ; TF 6B_1244/2017 du 29 mai 2018 consid. 2.3).</w:t>
      </w:r>
    </w:p>
    <w:p>
      <w:r>
        <w:rPr>
          <w:b/>
        </w:rPr>
        <w:t>E. 2.2.2</w:t>
      </w:r>
    </w:p>
    <w:p>
      <w:r>
        <w:t>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RDAF 2002 I 295 ; TF 6B_1297/2018 du 6 février 2019 consid. 1.1 et les réf.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Jeanneret et al. [édit.], Commentaire romand, Code de procédure pénale suisse, 2 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Ces motifs peuvent être plus larges pour certains auteurs, soit des motifs professionnels importants (Weber, in Niggli/Heer/Wiprächtiger, op. cit., nn. 5-6 ad art. 205 CPP).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w:t>
      </w:r>
    </w:p>
    <w:p>
      <w:r>
        <w:rPr>
          <w:b/>
        </w:rPr>
        <w:t>E. 2.3</w:t>
      </w:r>
    </w:p>
    <w:p>
      <w:r>
        <w:t>En l’espèce, la recourante ne s’est pas présentée à l’audience tenue par le Ministère public le 12 novembre 2020, alors qu’elle y avait valablement été convoquée par mandat de comparution du 11 septembre 2020, qu’elle avait reçu le 19 septembre 2020. L’envoi et la réception du mandat de comparution ne sont pas contestés par la recourante. Il y a donc bien eu un défaut à cette audience. En outre, le mandat attirait l’attention de la recourante sur la conséquence du défaut, l’art. 355 CPP étant reproduit in extenso , et l’alinéa 2 en caractères gras. La recourante fait valoir qu’elle n’a pas pu assister à cette audience car elle était en arrêt maladie. Or, le certificat médical qu’elle a produit ne comporte aucune signature ni tampon du médecin qui l’aurait rempli ; cet avis indique que l’arrêt de travail se terminera le 26 novembre 2020 et que l’intéressée pourra reprendre le travail dès et y compris cette date, que l’arrêt n’est pas en lien avec une affection de longue durée ni en rapport avec un état pathologique résultant de la grossesse. Cet avis n’est pas daté ; la seule indication temporelle qui y figure est le fait qu’il s’agit d’un avis de « prolongation » et non « initial ». En tant que telle, cette pièce n’établit pas que la recourante avait un motif valable pour ne pas comparaître à l’audience du 12 novembre 2020 (cf. art. 205 al. 2 CPP) ; à supposer qu’elle ait été remplie par un médecin – ce qui n’est pas démontré – elle prouverait tout au plus que l’intéressée devait reprendre le travail le 26 novembre 2020 sans qu’on puisse savoir quand cet arrêt était survenu. Au surplus, un simple certificat n’est pas suffisant, il faut encore qu’il résulte du document qu’un déplacement à l’audience est impossible (cf. CREP 15 octobre 2020/815 consid. 2.3), ce qui n’est pas attesté ici. Dans ces conditions la recourante n’établit pas qu’elle était empêchée de comparaître à l’audience en cause. De toute manière, même si elle était au bénéfice d’un certificat valable – ce qui n’est pas le cas – son défaut n’aurait pas été excusable : en effet, elle ne s’est pas manifestée d’une quelconque manière avant l’audience, par exemple en demandant une dispense de comparaître ou un renvoi (cf. TF 6B_342/2018 du 6 février 2019 consid. 4.3.2 et la réf. citée), puis a fait défaut. Alors qu’elle avait eu connaissance de la citation à comparaitre et des conséquences du défaut, elle a ainsi adopté un comportement dont on peut déduire qu’elle se désintéressait de la procédure. C’est dès lors à raison que le Ministère public a fait application de l’art. 355 al. 2 CPP.</w:t>
      </w:r>
    </w:p>
    <w:p>
      <w:r>
        <w:rPr>
          <w:b/>
        </w:rPr>
        <w:t>E. 3.1</w:t>
      </w:r>
    </w:p>
    <w:p>
      <w:r>
        <w:t>Au vu de ce qui précède, le recours, manifestement mal fondé, doit être rejeté, sans échange d’écritures (art. 390 al. 2 CPP).</w:t>
      </w:r>
    </w:p>
    <w:p>
      <w:r>
        <w:rPr>
          <w:b/>
        </w:rPr>
        <w:t>E. 3.2</w:t>
      </w:r>
    </w:p>
    <w:p>
      <w:r>
        <w:t>Vu le sort du recours,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12 novembre 2020 est confirmée. III. Les frais d’arrêt, par 770 fr. (sept cent septante francs), sont mis à la charge de la recourante M.________. IV. L’arrêt est exécutoire. Le président :               La greffière : Du Le présent arrêt, dont la rédaction a été approuvée à huis clos, est notifié, par l'envoi d'une copie complète, à : - M.________, - Me Pascale Botbol (pour C.________),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