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261 vom 24. März 2021</w:t>
      </w:r>
    </w:p>
    <w:p>
      <w:r>
        <w:t>VD Tribunal cantonal, 2021-03-24, FR</w:t>
      </w:r>
    </w:p>
    <w:p>
      <w:r>
        <w:rPr>
          <w:b/>
        </w:rPr>
        <w:t xml:space="preserve">Quelle: </w:t>
      </w:r>
      <w:r>
        <w:t>https://mcp.opencaselaw.ch/entscheid/vd_findinfo_D_cision___2021___261</w:t>
      </w:r>
    </w:p>
    <w:p>
      <w:r>
        <w:t>FR: VD_FINDINFO Décision / 2021 / 261 du 24 mars 2021</w:t>
      </w:r>
    </w:p>
    <w:p>
      <w:r>
        <w:t>IT: VD_FINDINFO Décision / 2021 / 261 del 24 marzo 2021</w:t>
      </w:r>
    </w:p>
    <w:p>
      <w:pPr>
        <w:pStyle w:val="Heading2"/>
      </w:pPr>
      <w:r>
        <w:t>Regeste</w:t>
      </w:r>
    </w:p>
    <w:p>
      <w:r>
        <w:t>DÉTENTION PROVISOIRE, RISQUE DE FUITE | 221 al. 1 let. a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Sans revenir sur l’existence de soupçons suffisants à son encontre, le recourant soutient que la détention provisoire n’est pas justifiée dès lors qu’il devrait être soumis à une détention administrative – moins incisive mais propre, selon lui, à pallier le risque de fuite retenu par le Tribunal des mesures de contrainte – puisqu’il faisait l’objet d’une mesure d’expulsion pénale pour une durée de 10 ans, prononcée le 16 août 2019 par le Tribunal correctionnel de l’arrondissement de La Broye et du Nord vaudois.</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 ; TF 1B_412/2014 du 12 janvier 2015 consid. 4.1).</w:t>
      </w:r>
    </w:p>
    <w:p>
      <w:r>
        <w:rPr>
          <w:b/>
        </w:rPr>
        <w:t>E. 2.2</w:t>
      </w:r>
    </w:p>
    <w:p>
      <w:r>
        <w:t>En l’espèce, le recourant fait une lecture erronée de l’arrêt rendu par la Chambre de céans le 13 septembre 2017. En effet, la problématique de la violation du principe de la proportionnalité évoqué dans cet arrêt ne découlait pas du fait que la détention administrative n’avait pas été envisagée au profit de la détention provisoire, mais de ce que la durée de la détention approchait bien trop de la peine encourue par le recourant dans cette affaire (arrêt CREP 622 du 13 septembre 2017, consid. 3.2). Dans la situation présente, les conditions de la détention provisoire du recourant sont réunies et il n’y a pas lieu – à ce stade – de privilégier une procédure de renvoi par le SPOP tant que l’enquête se poursuit. La question d’une exécution anticipée de peine ne se pose pas non plus en l’état, dans la mesure où, notamment, la libération conditionnelle accordée le 22 août 2020 n’a pas encore été révoquée. Le grief, mal fondé, doit être rejeté.</w:t>
      </w:r>
    </w:p>
    <w:p>
      <w:r>
        <w:rPr>
          <w:b/>
        </w:rPr>
        <w:t>E. 3</w:t>
      </w:r>
    </w:p>
    <w:p>
      <w:r>
        <w:t>Le recourant estime que la durée de la détention provisoire est disproportionnée. A l’appui de ce moyen, il se réfère à une directive du Procureur général du canton de Vaud.</w:t>
      </w:r>
    </w:p>
    <w:p>
      <w:r>
        <w:rPr>
          <w:b/>
        </w:rPr>
        <w:t>E. 3.1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 Il convient d'accorder une attention particulière à cette limite, car le juge de première instance ou d'appel pourrait être enclin à prendre en considération dans la fixation de la peine la durée de la détention avant jugement à imputer selon l'art. 51 CP (ATF 139 IV 270 consid. 3.1 et la référence citée; TF 1B_11/2020 du 23 janvier 2020 consid. 4.1).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consid. 3.5; TF 1B_250/2019 du 14 juin 2019 consid. 5.1).</w:t>
      </w:r>
    </w:p>
    <w:p>
      <w:r>
        <w:rPr>
          <w:b/>
        </w:rPr>
        <w:t>E. 3.2</w:t>
      </w:r>
    </w:p>
    <w:p>
      <w:r>
        <w:t>En l’espèce, la Directive 1.5 du Procureur général du canton de Vaud « Fixation des peines et harmonisation des sanctions » dont se prévaut le recourant prévoit effectivement à son chiffre 11 qu’une peine de 90 jours fermes est prononcée lors de la première condamnation pour rupture de ban. Or, au-delà du fait qu’il s’agit là uniquement de recommandations, se posera aussi la question de la révocation de sa libération conditionnelle, qui porte sur 4 mois et 23 jours. Le Ministère public l’avait d’ailleurs expressément indiqué dans sa demande de détention provisoire du 13 mars 2021. La peine d’ensemble envisageable est dans ces conditions supérieure à 7 mois, ce qui pourrait d’ailleurs conduire le Ministère public à renvoyer le recourant devant le Tribunal de police. Dans ces circonstances, la durée de la détention provisoire ordonnée pour trois mois est conforme au principe de la proportionnalité. Ce moyen, mal fondé, doit également être rejeté.</w:t>
      </w:r>
    </w:p>
    <w:p>
      <w:r>
        <w:rPr>
          <w:b/>
        </w:rPr>
        <w:t>E. 4</w:t>
      </w:r>
    </w:p>
    <w:p>
      <w:r>
        <w:t>En définitive, le recours doit être rejeté et l’ordonnance entreprise confirmée. L’indemnité allouée au défenseur d’office de U.________ sera fixée compte tenu d’une activité nécessaire estimée à 3 heures au tarif horaire de 180 fr., plus 2% de débours forfaitaires (art. 2 al. 1 let. a et 3bis RAJ [Règlement sur l'assistance judiciaire en matière civile du 7 décembre 2010; BLV 211.02.3], applicables par renvoi de l'art. 26b TFIP [Tarif des frais de procédure et indemnités en matière pénale du 28 septembre 2010; BLV 312.03.1]), par 10 fr. 80, plus 42 fr. 40 de TVA, à 594 fr., en chiffres arrondis. Les frais de la procédure de recours, constitués en l'espèce de l'émolument d'arrêt (art. 422 al. 1 CPP), par 770 fr. (art. 20 al. 1 TFIP), et des frais imputables à la défense d'office (art. 422 al. 1 et 2 let. a CPP), par 594 fr., seront mis à la charge du recourant, qui succombe (art. 428 al. 1 CPP). Le remboursement à l’Etat de l’indemnité allouée au défenseur d’office du recourant ne sera toutefois exigible que pour autant que sa situation financière le permette (art. 135 al. 4 CPP). Par ces motifs, la Chambre des recours pénale prononce : I. Le recours est rejeté. II. L’ordonnance du 15 mars 2021 est confirmée. III. L’indemnité allouée au défenseur d’office de U.________ est fixée à 594 fr. (cinq cent nonante-quatre francs), IV. Les frais d’arrêt, par 770 fr. (sept cent septante francs) et l’indemnité allouée au défenseur d’office de U.________, par 594 fr. (cinq cent nonante-quatre francs), sont mis à la charge de ce dernier. V. Le remboursement à l’Etat de l’indemnité allouée au chiffre III ci-dessus ne sera exigible que pour autant que la situation financière de U.________ le permette. VI. L’arrêt est exécutoire. Le président :               La greffière : Du Le présent arrêt, dont la rédaction a été approuvée à huis clos, est notifié, par l'envoi d'une copie complète, à : - Me Jean-Lou Maury, avocat (pour U.________), - Ministère public cantonal,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