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252 vom 1. März 2021</w:t>
      </w:r>
    </w:p>
    <w:p>
      <w:r>
        <w:t>VD Tribunal cantonal, 2021-03-01, FR</w:t>
      </w:r>
    </w:p>
    <w:p>
      <w:r>
        <w:rPr>
          <w:b/>
        </w:rPr>
        <w:t xml:space="preserve">Quelle: </w:t>
      </w:r>
      <w:r>
        <w:t>https://mcp.opencaselaw.ch/entscheid/vd_findinfo_D_cision___2021___252</w:t>
      </w:r>
    </w:p>
    <w:p>
      <w:r>
        <w:t>FR: VD_FINDINFO Décision / 2021 / 252 du 1 mars 2021</w:t>
      </w:r>
    </w:p>
    <w:p>
      <w:r>
        <w:t>IT: VD_FINDINFO Décision / 2021 / 252 del 1 marzo 2021</w:t>
      </w:r>
    </w:p>
    <w:p>
      <w:pPr>
        <w:pStyle w:val="Heading2"/>
      </w:pPr>
      <w:r>
        <w:t>Regeste</w:t>
      </w:r>
    </w:p>
    <w:p>
      <w:r>
        <w:t>ADMINISTRATION DES PREUVES, DÉTENTION ILLICITE, REJET DE LA DEMANDE, SURFACE, DÉTENTION EXTRADITIONNELLE | 3 CEDH, 11 LEP, 38 al. 1 LEP, 38 al. 2 LEP</w:t>
      </w:r>
    </w:p>
    <w:p>
      <w:pPr>
        <w:pStyle w:val="Heading2"/>
      </w:pPr>
      <w:r>
        <w:t>Erwägungen</w:t>
      </w:r>
    </w:p>
    <w:p>
      <w:r>
        <w:rPr>
          <w:b/>
        </w:rPr>
        <w:t>E. 1</w:t>
      </w:r>
    </w:p>
    <w:p>
      <w:r>
        <w:t>Les décisions rendues par le Juge d'application des peines peuvent faire l'objet d'un recours auprès du Tribunal cantonal (art. 38 al. 1 LEP [Loi vaudoise sur l’exécution des condamnations pénales du 4 juillet 2006 ; BLV 340.01]).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septembre 1979 ; BLV 173.01]). Interjeté en temps utile auprès de l'autorité compétente, par un détenu qui a la qualité pour recourir (art. 382 al. 1 CPP), et dans les formes prescrites (art. 385 al. 1 CPP), le recours d’L.________ est recevable.</w:t>
      </w:r>
    </w:p>
    <w:p>
      <w:r>
        <w:rPr>
          <w:b/>
        </w:rPr>
        <w:t>E. 2.1</w:t>
      </w:r>
    </w:p>
    <w:p>
      <w:r>
        <w:t>Invoquant une violation de son droit d’être entendu, L.________ requiert une nouvelle fois plusieurs mesures d’instruction, dont la mise en œuvre lui a déjà été refusée par le Juge d’application des peines. Il soutient que le premier juge aurait dû administrer les preuves requises.</w:t>
      </w:r>
    </w:p>
    <w:p>
      <w:r>
        <w:rPr>
          <w:b/>
        </w:rPr>
        <w:t>E. 2.2</w:t>
      </w:r>
    </w:p>
    <w:p>
      <w:r>
        <w:t>Le droit d'être entendu, tel qu'il est garanti à l'art. 29 al. 2 Cst. (Constitution fédérale de la Confédération suisse du 18 avril 1999 ;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140 I 285 consid. 6.3.1). Les autorités pénales peuvent renoncer à administrer des preuves sur les faits non pertinents, notoires, connus de l'autorité pénale ou déjà suffisamment prouvés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ATF 136 I 229 consid. 5.3 ; TF 6B_593/2016 du 27 avril 2017 consid. 5 ; TF 6B_598/2013 du 5 septembre 2013 consid. 3.1 ; Bénédict, in : Kuhn et alii [éd.], Commentaire romand, Code de procédure pénale suisse, 2 e éd., Bâle 2019, n. 23 ad art. 139 CPP).</w:t>
      </w:r>
    </w:p>
    <w:p>
      <w:r>
        <w:rPr>
          <w:b/>
        </w:rPr>
        <w:t>E. 2.3</w:t>
      </w:r>
    </w:p>
    <w:p>
      <w:r>
        <w:t>Le recourant sollicite la production de plusieurs rapports en lien avec ses conditions de détention à la Prison de Kumanovo. Or, pour les motifs qui seront exposés ci-après (ch. 3.3), le Juge d’application des peines n’est pas compétent pour examiner les conditions de détention du recourant à l’étranger, de sorte que l’admi­nistration de ces preuves n’est pas nécessaire au regard de l’art. 139 al. 2 CPP et doit être rejetée. Quant aux mesures requises en rapport avec les conditions de détention du recourant à la Prison du Bois-Mermet, la production d’un rapport complémentaire par cet établissement carcéral est sans pertinence et cette réquisition doit également être rejetée, car, contrairement à ce qu’affirme le recourant, les éléments au dossier sont suffisants pour permettre à la Cour de céans de statuer en toute connaissance de cause.</w:t>
      </w:r>
    </w:p>
    <w:p>
      <w:r>
        <w:rPr>
          <w:b/>
        </w:rPr>
        <w:t>E. 3.1</w:t>
      </w:r>
    </w:p>
    <w:p>
      <w:r>
        <w:t>Le recourant conteste le caractère irrecevable de sa requête en tant qu’elle porte sur ses conditions de détention à la Prison de Kumanovo (Ksanje) en Macédoine. Il fait valoir que la procédure de son extradition vers la Suisse a été initiée par les autorités suisses et que celles-ci ne pourraient pas échapper à leur responsabilité s’agissant de l’exécution d’une peine privative de liberté.</w:t>
      </w:r>
    </w:p>
    <w:p>
      <w:r>
        <w:rPr>
          <w:b/>
        </w:rPr>
        <w:t>E. 3.2</w:t>
      </w:r>
    </w:p>
    <w:p>
      <w:r>
        <w:t>L’extradition entre la Macédoine et la Suisse est régie par la Convention européenne d’extradition du 13 décembre 1957 (CEExtr. ; RS 0.353.1) et ses deux protocoles additionnels ([RS 0.353.11 et 0.353.12] ; cf TF 1A.159/2006 du 17 août 2006 consid. 3). La Loi fédérale du 20 mars 1981 sur l'entraide internationale en matière pénale (EIMP ; RS 351.1) et son ordonnance d'exécution (OEIMP ; RS 351.11) restent applicables aux questions qui ne sont réglées ni explicitement ni implicitement par la Convention, ou lorsque le droit autonome pose des conditions plus favorables pour l'octroi de l'extradition (ATF 123 II 134 consid. 1a p. 136; 122 II 373 consid. 1a p. 375), sous réserve du respect des droits fondamentaux (ATF 123 II 595 consid. 7c p. 617). Selon l’art. 18 CEExtr., la partie requise fera connaître à la partie requérante sa décision sur l’extradition par la voie prévue à l’art. 12 par. 1 (ch. 1). Tout rejet complet ou partiel sera motivé (ch. 2). En cas d’acceptation, la partie requérante sera informée du lieu et de la date de remise, ainsi que de la durée de la détention subie en vue de l’extradition par l’individu réclamé (ch. 3). L’art. 16 CEExtr. prescrit qu’en cas d’urgence, les autorités compétentes de la partie requérante pourront demander l’arrestation provisoire de l’individu recherché ; les autorités compétentes de la partie requise statueront sur cette demande conformément à la loi de cette partie (ch. 1). Sauf disposition contraire de la CEExtr., la loi de la partie requise est seule applicable à la procédure de l’extradition ainsi qu’à celle de l’arrestation provisoire (art. 22 CEExtr.).</w:t>
      </w:r>
    </w:p>
    <w:p>
      <w:r>
        <w:rPr>
          <w:b/>
        </w:rPr>
        <w:t>E. 3.3</w:t>
      </w:r>
    </w:p>
    <w:p>
      <w:r>
        <w:t>Se référant au principe de territorialité, le premier juge a considéré qu’il n’appartenait pas au juge suisse de se déterminer sur les conditions de détention du recourant à l’étranger, ce d’autant que les autorités helvétiques n’avaient aucune compétence de décider du lieu de détention d’une personne faisant l’objet, à l’étranger, d’une procédure d’extradition vers la Suisse. En l’espèce, le recourant a été condamné par défaut par le Tribunal correctionnel de l’arrondissement de la Broye et du Nord vaudois le 22 juin 2018 à une peine privative de liberté de 42 mois, sous déduction de 274 jours de détention avant jugement et de 8 jours à titre de réparation du tort moral. Arrêté en Macédoine du Nord le 5 octobre 2019, il a été incarcéré dans ce pays en vue de son extradition vers la Suisse qui a eu lieu le 10 mars 2020. En matière d’extradition, l’Etat requis, en l’occurrence la Macédoine, demeure souverain pour accepter ou refuser l’extradition d’un individu recherché aux fins d’exécution d’une peine ou d’une mesure de sûreté par les autorités judiciaires de la partie requérante et doit rendre une décision sur ce point (art. 18 CEExtr.). Comme exposé plus haut, l’art. 16 CEExtr. définit les con­ditions d’une arrestation provisoire dans l’Etat requis. Pour la procédure d’extradition et celle de l’arrestation provisoire, la loi de la partie requise est seule applicable, sauf disposition contraire de la convention (art. 16 ch. 1 2 e phr. et 22 CEExtr.). Dans ces conditions, à partir du moment où l’extradition a été acceptée par la Macédoine, qui est l’Etat requis, les modalités d’exécution de celle-ci lui incombaient, de sorte que les modalités de l’arrestation provisoire du recourant étaient soumises à la procédure prévue par la loi macédonienne. Les autorités suisses ne sauraient dès lors être tenues pour responsables des conditions dans lesquelles cette extradition a eu lieu, plus particulièrement des conditions de détention du recourant en vue de son extradition vers la Suisse. Il appartient dès lors à la Macédoine de répondre des conditions de détention dans les prisons situées sur son territoire, de sorte que seules les autorités macédoniennes sont compétentes pour examiner les conditions de détention du recourant à la Prison de Kumanovo. Partant, le Juge d’application des peines était fondé à déclarer irrecevable la requête du recourant tendant à ce qu’il examine la licéité de ses conditions de détention extraditionnelle en Macédoine.</w:t>
      </w:r>
    </w:p>
    <w:p>
      <w:r>
        <w:rPr>
          <w:b/>
        </w:rPr>
        <w:t>E. 4.1</w:t>
      </w:r>
    </w:p>
    <w:p>
      <w:r>
        <w:t>Le recourant se plaint de ses conditions de détention à la Prison du Bois-Mermet du 10 au 25 mars 2020 (cellule 236) et du 26 au 27 mars 2020 (cellule 150). Il reproche au premier juge d’avoir retenu que les conditions de sa détention dans la cellule 236 étaient licites pour le seul motif que la surface à sa disposition était suffisante, de ne pas avoir instruit la question du nombre d’occupants de cette cellule et de ne pas avoir tenu compte du fait que des températures notoirement élevées y régnaient, cette prison ne respectant pas les exigences minimales en matière d’isolation thermique. Il ne fait valoir aucun grief concernant la cellule 150.</w:t>
      </w:r>
    </w:p>
    <w:p>
      <w:r>
        <w:rPr>
          <w:b/>
        </w:rPr>
        <w:t>E. 4.2.1</w:t>
      </w:r>
    </w:p>
    <w:p>
      <w:r>
        <w:t>Lorsqu’un individu affirme de manière défendable avoir subi, aux mains de la police ou d’autres services comparables de l’État, de graves sévices illicites et contraires à l’art. 3 CEDH, cette dernière disposition, combinée avec le devoir général imposé à l’Etat par l’art. 1 CEDH de reconnaître à toute personne relevant de sa juridiction les droits et libertés définis dans la Convention, requiert, par implication, qu’il y ait une enquête officielle effective (CourEDH, Mocanu et autres contre Roumanie , 17 septembre 2014, § 317 et les réf., notamment CourEDH Assenov et autres contre Bulgarie, 28 octobre 1998, § 102). Le même droit découle de l’art. 10 al. 3 Cst. ([Constitution fédérale de la Confédération suisse du 18 avril 1999; RS 101] ; ATF 131 I 455 consid. 2).</w:t>
      </w:r>
    </w:p>
    <w:p>
      <w:r>
        <w:rPr>
          <w:b/>
        </w:rPr>
        <w:t>E. 4.2.2</w:t>
      </w:r>
    </w:p>
    <w:p>
      <w:r>
        <w:t>Au niveau conventionnel, l'art. 3 CEDH prévoit que nul ne peut être soumis à la torture ni à des peines ou traitements inhumains ou dégradants. Sur le plan constitutionnel, l'art.</w:t>
      </w:r>
    </w:p>
    <w:p>
      <w:r>
        <w:rPr>
          <w:b/>
        </w:rPr>
        <w:t>E. 4.2.3</w:t>
      </w:r>
    </w:p>
    <w:p>
      <w:r>
        <w:t>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 3.2; ATF 139 IV 41 consid. 3.2; ATF 123 I 112 consid. 4d/cc).</w:t>
      </w:r>
    </w:p>
    <w:p>
      <w:r>
        <w:rPr>
          <w:b/>
        </w:rPr>
        <w:t>E. 4.2.4</w:t>
      </w:r>
    </w:p>
    <w:p>
      <w:r>
        <w:t>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 2 , restreint du mobilier, – est une condition de détention difficile; elle n'est cependant pas constitutive d'une violation de l'art. 3 CEDH et ne représente pas un traitement dégradant portant atteinte à la dignité humaine des prévenus (ATF 140 I 125 précité). En revanche, l'occupation d'une cellule dite triple par six détenus avec une surface individuelle inférieure à 3,83 m 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TF 1B_325/2017 du 14 novembre 2017 consid. 3.3). Depuis lors, le Tribunal fédéral – s'inspirant également de la jurisprudence de la Cour européenne des droits de l'homme (cf. arrêts cités à l'ATF 140 I 125 consid. 3.4; TF 1B_325/2017 précité consid. 3.3) – s'en est tenu au critère de la surface individuelle inférieure à 4 m 2 (TF 1B_325/2017 précité ; TF 1B_394/2016 du 25 avril 2017 consid. 2.2.1). Dans un arrêt de principe Mursic contre Croatie du 20 octobre 2016 (§ 110 à 115), la Grande Chambre de la Cour européenne des droits de l'homme s'est cependant écartée de cet ordre de grandeur de 4 m 2 , déduit des normes établies par le CPT, en retenant qu'une surface de 3 m 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 2 ,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 2 , les conditions de détention ne sont à cet égard pas illicites ; cela n’exclut toutefois pas que l’autorité doive examiner d’autres aspects matériels des conditions de détention, si le détenu s’en plaint, car ceux-ci peuvent, eux, être constitutifs d’une violation de l’art. 3 CEDH (cf. arrêt Mursic contre Croatie précité § 140 ; TF 1B_330/2020 du 2 décembre 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 ; CREP 25 janvier 2021/65 consid. 2.1.4).</w:t>
      </w:r>
    </w:p>
    <w:p>
      <w:r>
        <w:rPr>
          <w:b/>
        </w:rPr>
        <w:t>E. 4.2.5</w:t>
      </w:r>
    </w:p>
    <w:p>
      <w:r>
        <w:t>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 à raison de 1,5 m 2 (CREP 5 septembre 2019/728, consid. 2.2.1; CREP 15 août 2019/654 consid. 2.2). En outre, le confinement en cellule d’au moins 21 heures par jour, le fait que les toilettes étaient séparées du reste de la cellule par un rideau ignifuge et non par une cloison, ainsi que la température dans les cellules – trop basse en hiver et trop élevée en été – dont le détenu se serait plaint, étaient des circonstances aggravantes (TF 1B_325/2017 précité consid. 3.5).</w:t>
      </w:r>
    </w:p>
    <w:p>
      <w:r>
        <w:rPr>
          <w:b/>
        </w:rPr>
        <w:t>E. 4.3</w:t>
      </w:r>
    </w:p>
    <w:p>
      <w:r>
        <w:t>En l’espèce, il est constant que L.________ a été extradé en Suisse le 10 mars 2020 et qu’il a séjourné à la Prison du Bois-Mermet du 10 mars au 15 juin 2020 où il a notamment occupé la cellule 236 du 10 au 25 mars 2020 et la cellule médicale 150 du 26 au 27 mars 2020. Selon les indications et les croquis fournis par la direction de la Prison, la cellule 236, qui était alors partagée par quatre personnes, a une surface nette – surface incluant la surface des sanitaires et du mobilier – de 23,30 m 2 et les WC de cette cellule sont séparés du reste de la pièce par une porte (P. 7). Comme l’a indiqué le premier juge, il y a lieu de déduire de cet espace brut 1,5 m 2 pour les toilettes séparées, de sorte que la surface nette de la cellule 236 à prendre en compte s’élève à 21, 8 m 2 (23,30 – 1,5) et que la surface individuelle disponible est de 5,45 m 2 (21,8 : 4). Quant à la cellule médicale 150, qui était alors occupée par le seul recourant, la surface nette est de 11,61 m 2 et la surface à prendre en considération après déduction des sanitaires est de 10,11 m 2 (11,61 – 1,5), laquelle correspond à la surface qui était disponible au recourant dans cette cellule. La détention du recourant dans les cellules 236 et 150 s’est ainsi déroulée dans un espace supérieur à 4 m 2 , et par conséquent suffisant au regard de l’art. 3 CEDH, ce qui n’est d’ailleurs pas contesté par le recourant. Afin d’exclure la présence concomitante de facteurs aggravants, les autres aspects de la détention du recourant doivent également être examinés. S’agissant de la problématique liée aux prétendues tempéra­tures élevées invo­quée par le recourant, on constate que le recourant n’a pas séjour­né dans les cellules 150 et 236 durant l’été, mais uniquement du 10 au 25 mars 2020 et du 26 au 27 mars 2020, qu’en l’absence de relevé de températures, on peut admettre que durant la période en cause l’ouverture des fenêtres devait permettre une aération suffisante de la pièce et qu’il ne ressort au surplus pas du dossier que le recourant se serait plaint, durant cette période, de températures trop élevées. La Cour de céans considère ainsi, à l’instar du premier juge, que la température ne constitue pas un motif aggravant au sens de la jurisprudence précitée permettant de retenir une violation de l’art. 3 CEDH. Au reste, le recourant, qui n’avait pas d’occupation professionnelle, bénéficiait d’une heure de promenade par jour et de quatre séances de sport d’une heure chaque semaine. Il avait également la possibilité de participer à des activités et de se rendre à la bibliothèque. Le recourant a certes occupé les cellules 150 et 236 au début de la pandémie du COVID-19, mais les restrictions apportées aux visites, aux programmes occupa­tionnels et aux activités socio-éducatives imposées par la crise sanitaire pour protéger la santé des détenus et du personnel pénitentiaire ont été compensées par des échanges Skype et par une heure de sport hebdomadaire supplémentaire (P. 7). Ainsi, considérées dans leur ensemble, toutes ces circonstances permettent, au besoin, et alors que le recourant disposait dans les cellules 150 et 236 d’une surface individuelle nettement supérieure à la limite de 4 m 2 imposée par la jurisprudence, de réduire de manière significative les inconvénients pouvant découler d’éventuelles températures trop élevées. Quant au fait que les sanitaires de la cellule 150 sont séparés du reste de la cellule par un rideau ignifuge, cette circonstance aggravante est largement contrebalancée par le fait que le recourant a séjourné seul dans cette cellule durant deux jours et qu’il disposait d’une surface individuelle de plus de 10 m 2 . En définitive, au terme d’une approche globale, on ne saurait retenir que les conditions de détention d’L.________ dans les cellules 150 et 236 de la Prison du Bois-Mermet du 10 au 25 mars 2020 et du 26 au 27 mars 2020 étaient illicites. 5. Au vu de ce qui précède, le recours interjeté par L.________, manifestement mal fondé, doit être rejeté sans échange d’écritures (art. 390 al. 2 CPP) et l’ordonnance du 9 février 2021 confirmée en tant qu’elle concerne le rejet de ses réquisitions de preuves, ainsi que sa demande en lien avec ses conditions de détention à la Prison de Kumanovo et ses conditions de détention à la Prison du Bois-Mermet du 10 au 25 mars 2020 et du 26 au 27 mars 2020. L’ordonnance entreprise doit être maintenue pour le surplus. Les frais de la procédure de recours, constitués en l’espèce de l’émolument d'arrêt, par 1'870 fr. (art. 20 al. 1 TFIP [Tarif des frais judiciaires et indemnités en matière pénale du 28 septembre 2010 ; BLV 312.03.1]), et des frais imputables à la défense d’office d’L.________ (art. 422 al. 1 et 2 let. a CPP), fixés à 450 fr. sur la base d’une durée d’activité d’avocat nécessaire estimée à deux heures et demie et d’un tarif horaire de 180 fr., auxquels il convient d’ajouter des débours forfaitaires à concurrence de 2% (art. 2 al. 1 let. a et 3bis  al. 1 RAJ [Règlement sur l'assistance judiciaire en matière civile du 7 décembre 2010 ; BLV 211.02.3], applicables par renvoi de l’art. 26b TFIP), par 9 fr., plus la TVA par 35 fr. 35, soit à 495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9 février 2021 est confirmée en tant qu’elle vaut rejet des réquisitions de preuves formulées par L.________ le 9 novembre 2020, qu’elle vaut prononcé d’irrecevabilité de la demande du prénommé relative à ses condi­tions de détention à la Prison de Kumanovo et qu’elle vaut constat du caractère licite des conditions de détention du prénommé à la Prison du Bois-Mermet du 10 au 25 mars 2020, puis du 26 au 27 mars 2020. L’ordonnance est maintenue pour le surplus. III. L’indemnité allouée au défenseur d’office d’L.________ est fixée à 495 fr. (quatre cent nonante-cinq francs). IV. Les frais d’arrêt, par 1'870 fr. (mille huit cent septante francs), ainsi que l’indemnité due au défenseur d’office d’L.________, par 495 fr. (quatre cent nonante-cinq francs), sont mis à la charge de ce dernier. V. Le remboursement à l’Etat de l’indemnité allouée au chiffre III ci-dessus ne sera exigible que pour autant que la situation financière d’L.________ le permette. VI. L’arrêt est exécutoire. Le président :               La greffière : Du Le présent arrêt, dont la rédaction a été approuvée à huis clos, est notifié, par l'envoi d'une copie complète, à : - Me David Abikzer, avocat (pour L.________), - Ministère public central, et communiqué à : - Mme la Juge d’application des peines, ‑ Direction des affaires juridiques, - Office d’exécution des peines, - Direction du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7</w:t>
      </w:r>
    </w:p>
    <w:p>
      <w:r>
        <w:t>Cst.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 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