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248 vom 17. März 2021</w:t>
      </w:r>
    </w:p>
    <w:p>
      <w:r>
        <w:t>VD Tribunal cantonal, 2021-03-17, FR</w:t>
      </w:r>
    </w:p>
    <w:p>
      <w:r>
        <w:rPr>
          <w:b/>
        </w:rPr>
        <w:t xml:space="preserve">Quelle: </w:t>
      </w:r>
      <w:r>
        <w:t>https://mcp.opencaselaw.ch/entscheid/vd_findinfo_D_cision___2021___248</w:t>
      </w:r>
    </w:p>
    <w:p>
      <w:r>
        <w:t>FR: VD_FINDINFO Décision / 2021 / 248 du 17 mars 2021</w:t>
      </w:r>
    </w:p>
    <w:p>
      <w:r>
        <w:t>IT: VD_FINDINFO Décision / 2021 / 248 del 17 marzo 2021</w:t>
      </w:r>
    </w:p>
    <w:p>
      <w:pPr>
        <w:pStyle w:val="Heading2"/>
      </w:pPr>
      <w:r>
        <w:t>Regeste</w:t>
      </w:r>
    </w:p>
    <w:p>
      <w:r>
        <w:t>ESCROQUERIE, ABUS DE CONFIANCE, DÉCISION D'IRRECEVABILITÉ, ADMISSION DE LA DEMANDE | 138 CP, 146 CP, 310 CPP (CH)</w:t>
      </w:r>
    </w:p>
    <w:p>
      <w:pPr>
        <w:pStyle w:val="Heading2"/>
      </w:pPr>
      <w:r>
        <w:t>Erwägungen</w:t>
      </w:r>
    </w:p>
    <w:p>
      <w:r>
        <w:rPr>
          <w:b/>
        </w:rPr>
        <w:t>E. 1</w:t>
      </w:r>
    </w:p>
    <w:p>
      <w:r>
        <w:t>Interjeté en temps utile (art. 310 et 322 al. 2 CPP [Code de procédure pénale suisse du 5 octobre 2007 ; RS 312.0]), dans les formes prescrites (art. 385 al. 1 CPP), auprès de l’autorité compétente (art. 13 LVCPP [loi d’introduction du Code de procédure pénale suisse du 19 mai 2009 ; BLV 312.01] ; art. 80 LOJV [loi d'organisation judiciaire du 12 septembre 1979 ; BLV 173.01]), par la partie plaignante qui a qualité pour recourir (art. 382 al. 1 CPP), le recours est recevable.</w:t>
      </w:r>
    </w:p>
    <w:p>
      <w:r>
        <w:rPr>
          <w:b/>
        </w:rPr>
        <w:t>E. 2</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 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3.1</w:t>
      </w:r>
    </w:p>
    <w:p>
      <w:r>
        <w:t>La recourante fait en substance valoir qu’il ressort de la plainte pénale que les parties auraient conclu un contrat de leasing, que ce contrat aurait été résilié faute de paiement des mensualités, et que X.________ et G.________ n’auraient pas restitué les véhicules malgré diverses sommations. La recourante précise en outre que le véhicule Porsche Cayenne semble avoir été placé dans un lieu où il sera difficile de le récupérer, dès lors qu’il paraît se trouver en Serbie. Quant aux deux véhicules Skoda actuellement en possession de X.________, ils paraissent avoir été loués à des tiers. La recourante soutient qu’il existe ainsi suffisamment d’indices pour ordonner l’ouverture d’une instruction pénale. Elle invoque enfin que l’infraction d’escroquerie doit entrer en ligne de compte s’agissant des faits de juin 2018 (travaux de rénovation).</w:t>
      </w:r>
    </w:p>
    <w:p>
      <w:r>
        <w:rPr>
          <w:b/>
        </w:rPr>
        <w:t>E. 3.2.1</w:t>
      </w:r>
    </w:p>
    <w:p>
      <w:r>
        <w:t>Commet un abus de confiance au sens de l'art. 138 ch. 1 CP,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selon qu'il porte sur une chose mobilière ou sur une valeur patrimoniale.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Parmi les choses mobilières confiées, la jurisprudence cite les voitures louées (ATF 121 IV 145).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l’ayant droit de sa chose, et, d'autre part, de se l'approprier, pour une certaine durée au moins. Il ne suffit pas que l'auteur ait la volonté d'appropriation, celle-ci devant se manifester par un comportement extérieurement constatable (ATF 129 IV 223 consid. 6.2.1 p. 227; ATF 121 IV 25 consid. 1c p. 25; ATF 118 IV 148 consid. 2a p. 151 s.). Il n'y a pas d'appropriation si d'emblée l'auteur veut rendre la chose intacte après un acte d'utilisation. Elle intervient cependant sans droit lorsque l'auteur ne peut la justifier par une prétention qui lui soit reconnue par l'ordre juridique (Bernard Corboz, Les infractions en droit suisse, vol. I, 3 e éd. 2010, n° 11 ad art. 137 CP).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ATF 121 IV 23 consid. 1c p. 25). Du point de vue subjectif, l'auteur doit avoir agi intentionnellement et dans un dessein d'enrichissement illégitime (ATF 133 IV 21 consid. 6.1.2 ; TF 6B_129/2020 du 18 mai 2020 consid. 2.1.4, JdT 1996 IV 166).</w:t>
      </w:r>
    </w:p>
    <w:p>
      <w:r>
        <w:rPr>
          <w:b/>
        </w:rPr>
        <w:t>E. 3.2.2</w:t>
      </w:r>
    </w:p>
    <w:p>
      <w:r>
        <w:t>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du Code pénal, 2 e éd., Bâle 2017, nn. 11 ss ad art. 146 CP et les réf. citées).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255 consid. 2 e , JdT 2004 IV 159 ; ATF 115 IV 31 consid. 3a ; Corboz, Les infractions en droit suisse, vol. I, 3 e éd., Berne 2010, nn. 31 et 38 ad art. 146 CP ; Dupuis et alii, op. cit., n. 32 ad art. 146 CP).</w:t>
      </w:r>
    </w:p>
    <w:p>
      <w:r>
        <w:rPr>
          <w:b/>
        </w:rPr>
        <w:t>E. 3.3</w:t>
      </w:r>
    </w:p>
    <w:p>
      <w:r>
        <w:t>Les contrats de leasing</w:t>
      </w:r>
    </w:p>
    <w:p>
      <w:r>
        <w:rPr>
          <w:b/>
        </w:rPr>
        <w:t>E. 3.3.1</w:t>
      </w:r>
    </w:p>
    <w:p>
      <w:r>
        <w:t>L’ordonnance attaquée retient que les thématiques civiles sous-jacentes à la plainte pénale apparaissent comme prépondérantes. Le procureur a en substance considéré que les traites des leasings avaient été payées jusqu’au mois de mai 2019 ce qui excluait une intention délictueuse de la part de X.________ au moment de la conclusion des contrats. Le procureur a considéré que le dossier ne comportait aucun indice que G.________ ou X.________ se soient appropriés les véhicules, ceux-ci invoquant en outre la compensation avec différentes prétentions contre le plaignant ou sa société.</w:t>
      </w:r>
    </w:p>
    <w:p>
      <w:r>
        <w:rPr>
          <w:b/>
        </w:rPr>
        <w:t>E. 3.3.2</w:t>
      </w:r>
    </w:p>
    <w:p>
      <w:r>
        <w:t>En l’occurrence, au vu des éléments figurant au dossier, on comprend que la société L.________ aurait, à la demande de X.________, conclu trois contrats de leasing en son nom et qu’elle aurait mis les trois véhicules à disposition de X.________. En contrepartie celui-ci devait s’acquitter de tous les frais relatifs à ces véhicules (mensualités de leasing, assurances, amendes etc.). X.________ aurait remis la Porche Cayenne à G.________. Les mensualités convenues ainsi que tous les frais auraient été acquittés, jusqu’au mois de mai 2019 où X.________, respectivement G.________, auraient cessé tout paiement. Malgré une mise en demeure formelle de la société L.________ de payer les montants dus, puis de restituer les véhicules, X.________ et G.________ ne se seraient pas exécutés, le véhicule Porsche Cayenne se situant en outre, selon les dires de la recourante, à l’étranger et les véhicules Skoda étant loués à des tiers. Au vu de ce qui précède, il n’est pas possible d’exclure d’emblée l’infraction d’abus de confiance. En effet, si les évènements se sont déroulés ainsi que la recourante l’a décrit, les véhicules auraient été confiés au prévenu X.________ sur la base d’un fondement contractuel (un sous-leasing) en vertu duquel la possession lui aurait été transférée. Ce faisant, elle lui aurait confié ces véhicules avec un pouvoir de disposition limité, à savoir de le conserver jusqu’au terme du sous-leasing, auquel cas les véhicules devaient être restitués. Or, le fait pour le prévenu de transférer l’un de ces véhicules à un tiers et le fait de refuser de restituer les deux autres peuvent manifestement constituer des actes d’appropriation tombant sous le coup de l’art. 138 ch. 1 al. 1 CP, lesquels peuvent causer un dommage à la plaignante. En outre, si le prévenu X.________ avait d’emblée le dessein de ne s’acquitter que de quelques mensualités des sous-leasings en cause, notamment parce qu’il savait d’emblée qu’il n’aurait pas les moyens de payer les redevances, et qu’il a dissimulé à la recourante ce fait, la commission d’une escroquerie ne peut pas non plus être exclue. Le moyen de la recourante doit ainsi être admis et l’ordonnance de non-entrée en matière doit être annulée sur ce point. Le Ministère public doit donc ouvrir une enquête et investiguer les faits dénoncés.</w:t>
      </w:r>
    </w:p>
    <w:p>
      <w:r>
        <w:rPr>
          <w:b/>
        </w:rPr>
        <w:t>E. 3.4</w:t>
      </w:r>
    </w:p>
    <w:p>
      <w:r>
        <w:t>Les travaux de rénovation</w:t>
      </w:r>
    </w:p>
    <w:p>
      <w:r>
        <w:rPr>
          <w:b/>
        </w:rPr>
        <w:t>E. 3.4.1</w:t>
      </w:r>
    </w:p>
    <w:p>
      <w:r>
        <w:t>L’ordonnance attaquée a retenu que L.________ était intimée dans une procédure civile pour la restitution de ce qui pouvait être qualifié d’acomptes mais qu’elle n’avait toutefois pas été condamnée à verser cette somme. Par conséquent, il n’y aurait pas de préjudice, ce qui exclurait l’infraction d’escroquerie puisque le préjudice est une condition objective de l’escroquerie.</w:t>
      </w:r>
    </w:p>
    <w:p>
      <w:r>
        <w:rPr>
          <w:b/>
        </w:rPr>
        <w:t>E. 3.4.2</w:t>
      </w:r>
    </w:p>
    <w:p>
      <w:r>
        <w:t>En l’espèce, si on suit la plaignante, au mois de juin 2018, X.________ aurait sollicité L.________ pour que celle-ci effectue des travaux de rénovation de la cuisine de l’appartement de G.________. Le 25 juillet 2018, L.________ aurait établi une facture de 76'660 fr. pour ces travaux (P. 27) et le 2 novembre 2018, G.________ se serait acquittée de ce montant alors même que les travaux n’avaient pas débutés. Par la suite, X.________ aurait indiqué à K.________ que son amie renonçait à l’exécution desdits travaux et aurait demandé le remboursement du montant précité. Ainsi, L.________ aurait restitué, toutefois à l’attention de [...], soit X.________ – et non à l’attention de G.________ – 10'000 fr. le 12 novembre 2018, 20'000 fr. le 15 avril 2019 et 17'000 fr. le 14 mai 2019 (cf. P. 28). L.________ indique avoir en outre payé le solde en espèces en main de X.________. Aucune quittance ne figure toutefois au dossier. Or, le 21 juin 2019, G.________ aurait exigé de la société L.________ le remboursement des 76'660 francs, contestant avoir reçu un quelconque montant. Au vu de ce qui précède, et du peu d’éléments figurant au dossier, on peine à comprendre pourquoi la société L.________ a remboursé le montant de l’acompte versé par G.________ à X.________, sans autre vérification ni document écrit, comme par exemple une déclaration signée par G.________ autorisant son ami à encaisser la totalité du remboursement. En l’espèce, la seule explication fournie par la plaignante se limite à plaider l’existence d’un « rapport de confiance » et une « proche amitié » qui existaient entre X.________ et K.________ au moment des faits et qui l’aurait dispensée de procéder aux vérifications d’usage. Si cela peut paraître insuffisant pour retenir la réalisation de l’infraction d’escroquerie par un édifice de mensonges, celle-ci ne peut toutefois pas être exclue. En outre, à l’issue de son ordonnance de non-entrée en matière partielle, le procureur a indiqué que l’instruction de la question de la dénonciation calomnieuse en lien avec la plainte déposée contre K.________ se poursuivait. Manifestement, la plainte de la société L.________ contre X.________ et G.________ notamment pour escroquerie, et la plainte déposée par [...], soit X.________, contre l’administrateur de la société L.________, soit K.________, pour dénonciation calomnieuse, sont liées et on voit mal qu’elles soient instruites séparément, l’issue de l’une dépendant de l’autre. Partant, il convient d’annuler l’ordonnance de non-entrée en matière sur ce point également.</w:t>
      </w:r>
    </w:p>
    <w:p>
      <w:r>
        <w:rPr>
          <w:b/>
        </w:rPr>
        <w:t>E. 4</w:t>
      </w:r>
    </w:p>
    <w:p>
      <w:r>
        <w:t>Il résulte de ce qui précède que le recours doit être admis, l'ordonnance entreprise annulée et la cause renvoyée au Ministère public pour qu'il procède dans le sens des considérants. Les frais de la procédure de recours sont fixés 1’100 fr. (art. 20 al. 1 TFIP [Tarif des frais de procédure et indemnités en matière pénale du 28 septembre 2010 ; BLV 312.03.1]). La recourante, qui a procédé avec l’assistance d’un avocat de choix, a droit à une indemnité pour les dépenses occasionnées par la procédure de recours. Cette indemnité sera fixée à 900 fr., sur la base de trois heures d’activité nécessaire au tarif horaire d’avocat de 300 fr. (art. 26a al. 3 TFIP), à laquelle s’ajoutent 2 % pour les débours (art. 19 al. 2 TDC [Tarif des dépens en matière civile du 23 novembre 2010 ; BLV 270.11.6] par renvoi de l'art. 26a al. 6 TFIP) et 7,7% pour la TVA, ce qui correspond à la somme de 989 fr. en chiffres ronds. Vu le sort du recours, les frais de procédure, par 1’100 fr., ainsi que l’indemnité allouée à la recourante, par 989 fr., seront laissés à la charge de l'Etat (art. 423 al. 1 CPP). Par ces motifs, la Chambre des recours pénale prononce : I. Le recours est admis. II. L’ordonnance du 23 novembre 2020 est annulée. III. Le dossier de la cause est renvoyé au Ministère public de l’arrondissement de Lausanne pour qu’il procède dans le sens des considérants. IV. Les frais d’arrêt, par 1’100 fr. (mille cent francs), sont laissés à la charge de l’Etat. V. Une indemnité de 989 fr. (neuf cent huitante-neuf francs) est allouée à L.________ pour la procédure de recours, à la charge de l’Etat. VI. L’arrêt est exécutoire. Le président :               La greffière : Du Le présent arrêt, dont la rédaction a été approuvée à huis clos, est notifié, par l'envoi d'une copie complète, à : - Me Alexandre Reil, avocat (pour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