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240 vom 8. März 2021</w:t>
      </w:r>
    </w:p>
    <w:p>
      <w:r>
        <w:t>VD Tribunal cantonal, 2021-03-08, FR</w:t>
      </w:r>
    </w:p>
    <w:p>
      <w:r>
        <w:rPr>
          <w:b/>
        </w:rPr>
        <w:t xml:space="preserve">Quelle: </w:t>
      </w:r>
      <w:r>
        <w:t>https://mcp.opencaselaw.ch/entscheid/vd_findinfo_D_cision___2021___240</w:t>
      </w:r>
    </w:p>
    <w:p>
      <w:r>
        <w:t>FR: VD_FINDINFO Décision / 2021 / 240 du 8 mars 2021</w:t>
      </w:r>
    </w:p>
    <w:p>
      <w:r>
        <w:t>IT: VD_FINDINFO Décision / 2021 / 240 del 8 marzo 2021</w:t>
      </w:r>
    </w:p>
    <w:p>
      <w:pPr>
        <w:pStyle w:val="Heading2"/>
      </w:pPr>
      <w:r>
        <w:t>Regeste</w:t>
      </w:r>
    </w:p>
    <w:p>
      <w:r>
        <w:t>CLASSEMENT DE LA PROCÉDURE, IN DUBIO PRO DEBITORE | 319 al. 1 CPP (CH)</w:t>
      </w:r>
    </w:p>
    <w:p>
      <w:pPr>
        <w:pStyle w:val="Heading2"/>
      </w:pPr>
      <w:r>
        <w:t>Erwägungen</w:t>
      </w:r>
    </w:p>
    <w:p>
      <w:r>
        <w:rPr>
          <w:b/>
        </w:rPr>
        <w:t>E. 1</w:t>
      </w:r>
    </w:p>
    <w:p>
      <w:r>
        <w:t>Interjeté en temps utile contre une ordonnance de classement rendue par le Ministère public (art. 322 al. 2 et 396 al. 1 CPP ; cf. art. 20 al. 1 let. b CPP), par la partie plaignante, qui a la qualité pour recourir (art. 382 al. 1 CPP) et dans les formes prescrites (art. 385 al. 1 CPP), le recours est recevable.</w:t>
      </w:r>
    </w:p>
    <w:p>
      <w:r>
        <w:rPr>
          <w:b/>
        </w:rPr>
        <w:t>E. 2.1</w:t>
      </w:r>
    </w:p>
    <w:p>
      <w:r>
        <w:t>Le recourant fait valoir qu’on se trouverait dans un cas d’infraction commise « entre quatre yeux », pour laquelle il devrait en principe y avoir mise en accusation, selon le principe in dubio pro duriore , sauf si le plaignant a tenu des propos contradictoires rendant ses accusations moins crédibles ou lorsque une condamnation apparaît, au vu de l’ensemble des circonstances, a priori improbable pour d’autre motifs. Or, en l’occurrence, aucune de ces deux hypothèses ne serait réalisée. En outre, le procureur n’aurait pas procédé à toutes les mesures d’instruction pertinentes, susceptibles d’établir l’existence de soupçons justifiant une mise en accusation. Le recourant relève en particulier qu’il avait requis l’audition des autres enfants gardés par la prévenue, soit son frère, ses deux cousins et sa cousine, et que ce serait à tort que cette réquisition a été rejetée.</w:t>
      </w:r>
    </w:p>
    <w:p>
      <w:r>
        <w:rPr>
          <w:b/>
        </w:rPr>
        <w:t>E. 2.2</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 TF 6B_310/2020 du 17 juillet 2020 consid. 2.1 ; TF 6B_199/2020 du 9 avril 2020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 TF 6B_874/2017 du 18 avril 2018 consid. 5.1 ; TF 6B_865/2017 du 25 juillet 2018 consid. 3.1).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6B_116/2019 du 11 mars 2019 consid. 2.1 ; TF 6B_174/2019 du 21 février 2019 consid. 2.2 ; TF 6B_874/2017, déjà cité, consid. 5.1 ; TF 6B_865/2017, déjà cité, consid. 3.1).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26 janvier 2021/46 consid. 2.1 ; CREP 4 août 2020/603 consid. et les réf. citées).</w:t>
      </w:r>
    </w:p>
    <w:p>
      <w:r>
        <w:rPr>
          <w:b/>
        </w:rPr>
        <w:t>E. 2.3</w:t>
      </w:r>
    </w:p>
    <w:p>
      <w:r>
        <w:t>En l’espèce, la police a entendu le recourant, sa mère et la prévenue. A ce stade, dans la mesure où le recourant a été entendu à une seule reprise, on ne saurait dire qu’il a fait des déclarations contradictoires. Par ailleurs, le récit des faits par le recourant est détaillé (cf. PV aud. 1, R. 5, pp. 2-3) et il a tenu des propos similaires aux praticiennes qui le suivent, y compris s’agissant de la présence de flash-backs (cf. P. 13, ch. 2.1 et 2.2). Ces praticiennes ont par ailleurs posé chez le recourant un diagnostic de stress post-traumatique F43.1 selon le CIM-10 ainsi que celui de trouble dissociatif F44. Elles ont conclu que les passages à l’acte hétéro-agressifs pour lesquels le recourant avait eu plusieurs plaintes pouvaient « être compris comme des passages à l’acte en lien avec les déclencheurs traumatiques, dans un contexte de dissociation », d’une part, et que « la symptomatologie et l’état [du recourant] confirm[aient] qu’il y a[vait] eu trauma » (ch. 2.4). Quant à B.Z.________, la mère du prévenu, qui est éducatrice, elle a déclaré, avec nuance, que si sa mère n’avait rien fait, elle ne devrait pas être condamnée mais qu’elle pensait que les faits reprochés étaient possibles à cause des « pratiques sexuelles qu’elle a[vait] eu[es] par le passé » (PV aud. 3, R. 13, p. 8), soit notamment des « partouzes » où aurait pu se trouver une personne mineure entre seize et dix-huit ans (PV aud. 3, R. 11, p. 6). Elle a d’ailleurs dit, qu’en raison de cela, elle voulait « bien croire [s]on fils » (PV aud. 3, R. 11, p. 6). Au vu de la jurisprudence précitée, le procureur n’aurait pas dû prononcer le classement de la procédure. En effet, même si elles mettent des nuances, la mère du recourant, sa psychiatre et sa psychologue ont déclaré que les propos de celui-ci pouvaient, respectivement avaient pu, être réels, en raison de l’état émotionnel observé chez lui lorsqu’il avait relaté ces faits. Il présentait en outre des signes de stress post-traumatique, tels que amnésie dissociative, relations interpersonnelles perturbées, hypervigilance, anxiété manifestée par un passage à l’acte hétéro-agressif juste après les révélations et agitation motrice (P. 13, ch. 2.4). Certes, les praticiennes ne sont pas des expertes judiciaires, mais le procureur les a interpellées formellement sur les circonstances des révélations et leurs déclarations ont porté également sur ce point, ainsi que sur l’existence d’un trauma en relation avec ces déclarations. Le fait que le recourant soit défavorablement connu des services de police n’est pas déterminant à ce stade, puisque, selon le rapport de la psychiatre et de la psychologue, les passages à l’acte du recourant sont la conséquence du diagnostic et donc, possiblement des faits reprochés. En outre, les infractions qu’il paraît avoir commises ne sont pas des dénonciations calomnieuses. On relèvera que le fait que la prévenue ait déclaré ne pas comprendre pourquoi son petit-fils l’accusait, qu’il ne devait pas être bien, qu’il avait un trouble bipolaire et qu’elle n’avait aucun conflit avec lui ou sa fille (PV aud. 2, R. 8 et 9) n’est pas, à ce stade, pertinent pour considérer qu’il n’existerait pas de soupçon d’infraction. Il apparaît au surplus que des mesures d’instruction pertinentes peuvent encore être menées, comme requis par le recourant. L’instruction sera donc complétée en ce sens que les quatre autres enfants qui étaient gardés par la prévenue seront entendus.</w:t>
      </w:r>
    </w:p>
    <w:p>
      <w:r>
        <w:rPr>
          <w:b/>
        </w:rPr>
        <w:t>E. 3.1</w:t>
      </w:r>
    </w:p>
    <w:p>
      <w:r>
        <w:t>En définitive, le recours doit être admis, l’ordonnance entreprise annulée et le dossier de la cause renvoyé au Ministère public pour complément d’instruction dans le sens des considérants.</w:t>
      </w:r>
    </w:p>
    <w:p>
      <w:r>
        <w:rPr>
          <w:b/>
        </w:rPr>
        <w:t>E. 3.2</w:t>
      </w:r>
    </w:p>
    <w:p>
      <w:r>
        <w:t>Vu l’issue de la cause, les frais d’arrêt, par 880 fr. (art. 20 al. 1 TFIP [tarif des frais de procédure et indemnités en matière pénale du 28 septembre 2010 ; BLV 312.03.1]), ainsi que les frais imputables à la défense d’office (art. 422 al. 1 et 2 let. a CPP), fixés à 544 fr. – qui comprennent des honoraires par 540 fr. (2 h 45 à 180 fr. [cf. P. 21/3]), des débours forfaitaires de 2 %, par 9 fr. 90 (cf. art. 26b TFIP qui renvoie à l'art. 3bis RAJ [règlement sur l’assistance judiciaire en matière civile du 7 décembre 2010 ; BLV 211.02.3]), et la TVA sur le tout, au taux de 7,7 %, par 38 fr. 90, le tout arrondi au franc supérieur –, seront mis à la charge de l’Etat (art. 428 al. 4 CPP). Par ces motifs, la Chambre des recours pénale prononce : I. Le recours est admis. II. L’ordonnance du 9 octobre 2020 est annulée. III. Le dossier de la cause est renvoyé au Ministère public de l’arrondissement du Nord vaudois pour qu’il procède dans le sens des considérants. IV. Une indemnité de 544 fr. (cinq cent quarante-quatre francs) est allouée à Me Cédric Matthey. V. Les frais d’arrêt, par 880 fr. (huit cent huitante francs), ainsi que l’indemnité de 544 fr. (cinq cent quarante-quatre francs) arrêtée au chiffre IV ci-dessus, sont laissés à la charge de l’Etat. VI. L’arrêt est exécutoire. Le président :               La greffière : Du Le présent arrêt, dont la rédaction a été approuvée à huis clos, est notifié, par l'envoi d'une copie complète, à : - Me Anne-Claire Boudry (pour A.Z.________), - Me Cédric Matthey, - Ministère public central, - U.________,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