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218 vom 19. März 2021</w:t>
      </w:r>
    </w:p>
    <w:p>
      <w:r>
        <w:t>VD Tribunal cantonal, 2021-03-19, FR</w:t>
      </w:r>
    </w:p>
    <w:p>
      <w:r>
        <w:rPr>
          <w:b/>
        </w:rPr>
        <w:t xml:space="preserve">Quelle: </w:t>
      </w:r>
      <w:r>
        <w:t>https://mcp.opencaselaw.ch/entscheid/vd_findinfo_D_cision___2021___218</w:t>
      </w:r>
    </w:p>
    <w:p>
      <w:r>
        <w:t>FR: VD_FINDINFO Décision / 2021 / 218 du 19 mars 2021</w:t>
      </w:r>
    </w:p>
    <w:p>
      <w:r>
        <w:t>IT: VD_FINDINFO Décision / 2021 / 218 del 19 marzo 2021</w:t>
      </w:r>
    </w:p>
    <w:p>
      <w:pPr>
        <w:pStyle w:val="Heading2"/>
      </w:pPr>
      <w:r>
        <w:t>Regeste</w:t>
      </w:r>
    </w:p>
    <w:p>
      <w:r>
        <w:t>DÉCISION D'IRRECEVABILITÉ | 310 CPP (CH)</w:t>
      </w:r>
    </w:p>
    <w:p>
      <w:pPr>
        <w:pStyle w:val="Heading2"/>
      </w:pPr>
      <w:r>
        <w:t>Erwägungen</w:t>
      </w:r>
    </w:p>
    <w:p>
      <w:r>
        <w:rPr>
          <w:b/>
        </w:rPr>
        <w:t>E. 1</w:t>
      </w:r>
    </w:p>
    <w:p>
      <w:r>
        <w:t>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1.1</w:t>
      </w:r>
    </w:p>
    <w:p>
      <w:r>
        <w:t>Les parties peuvent attaquer une ordonnance de non-entrée en matière rendue par le Ministère public (art. 310 CPP) dans les dix jours devant l’autorité de recours (art. 310 al. 2, 322 al. 2 et 396 al. 1 CPP; cf. art. 20 al.</w:t>
      </w:r>
    </w:p>
    <w:p>
      <w:r>
        <w:rPr>
          <w:b/>
        </w:rPr>
        <w:t>E. 1.2</w:t>
      </w:r>
    </w:p>
    <w:p>
      <w:r>
        <w:t>En l’espèce, le recours a été interjeté en temps utile, auprès de l’autorité compétente, par la partie plaignante qui a la qualité pour recourir (art. 382 al. 1 CPP). Le recourant ne discute pas les éléments de l’ordonnance entreprise, même si l’on comprend qu’il veut qu’une enquête soit dirigée contre la direction de la prison de La Croisée. On peut ainsi se demander si le recours satisfait aux exigences de motivation de l’art. 385 al. 1 CPP, aux termes duquel la personne ou l’autorité qui recourt doit indiquer précisément les points de la décision qu’elle attaque (let. a), les motifs qui commandent une autre décision (let. b) et les moyens de preuve qu’elle invoque (let. c). La question de la recevabilité du recours peut toutefois rester ouverte, dès lors que, supposé recevable, le recours devrait de toute manière être rejeté pour les motifs exposés ci-après.</w:t>
      </w:r>
    </w:p>
    <w:p>
      <w:r>
        <w:rPr>
          <w:b/>
        </w:rPr>
        <w:t>E. 2.1</w:t>
      </w:r>
    </w:p>
    <w:p>
      <w:r>
        <w:t>Conformément à l'art. 310 al. 1 let. a CPP, le Ministère public rend immédiatement – c'est-à-dire sans qu'une instruction soit ouverte (art. 309 al. 1 et 4 CPP; ATF 144 IV 86 consid. 2.3.3) – une ordonnance de non-entrée en matière lorsqu'il apparaît, à réception de la dénonciation (cf. art. 301 et 302 CPP) ou de la plainte (Cornu, in :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in dubio pro duriore.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 citées).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précité ; TF 6B_541/2017 du 20 décembre 2017 consid. 2.2).</w:t>
      </w:r>
    </w:p>
    <w:p>
      <w:r>
        <w:rPr>
          <w:b/>
        </w:rPr>
        <w:t>E. 2.2</w:t>
      </w:r>
    </w:p>
    <w:p>
      <w:r>
        <w:t>Aux termes de l’art. 12 RDD (règlement sur le droit disciplinaire applicable aux détenus avant jugement et aux condamnés ; RSV 340.07.1), le prononcé de sanctions disciplinaires entre dans la compétence du directeur d'un établissement pénitentiaire. Selon l'art. 14 CP (Code pénal suisse du 21 décembre 1937 ; RS 311.0), quiconque agit comme la loi l'ordonne ou l'autorise se comporte de manière licite, même si l'acte est punissable en vertu du présent code ou d'une autre loi. 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Sur le plan objectif, l'infraction réprimée par cette disposition suppose de l'auteur, soit un membre d'une autorité ou un fonctionnaire au sens de l'art. 110 al.</w:t>
      </w:r>
    </w:p>
    <w:p>
      <w:r>
        <w:rPr>
          <w:b/>
        </w:rPr>
        <w:t>E. 3</w:t>
      </w:r>
    </w:p>
    <w:p>
      <w:r>
        <w:t>La jurisprudence relative aux plaintes déposées par les prisonniers pour abus d’autorité impose certes, en principe, une enquête. Encore faut-il un minimum d’éléments pour établir la réalisation de l’infraction dénoncée. Or, dans le cas présent, si l’on peut regretter de ne disposer d’aucun retour de la prison de La Croisée s’agissant de l’incident évoqué par le recourant, force est de retenir, comme l’a fait à juste titre le Ministère public, que la question du contrôle du bien-fondé d’une décision de mise aux arrêts ou de consignation en cellule relève de la voie administrative. Ainsi, la sanction prononcée à l’encontre du recourant se fonde sur le RDD, qui précise non seulement les comportements susceptibles d’être sanctionnés, mais aussi les voies de droit. Quant aux infractions que le recourant évoque dans sa plainte, particulièrement l’abus d’autorité, ces éléments constitutifs ne sont manifestement pas réunis. En effet, la sanction semble découler de l’emportement du recourant, voire de son comportement en lien avec le résultat positif à un test Covid-19. Dans ces circonstances, c’est à bon droit que le Ministère public a retenu qu’il n’y avait aucun indice permettant de soupçonner la commission d’une infraction pénale et qu’il n’est dès lors pas entré en matière sur la plainte de F.________.</w:t>
      </w:r>
    </w:p>
    <w:p>
      <w:r>
        <w:rPr>
          <w:b/>
        </w:rPr>
        <w:t>E. 4</w:t>
      </w:r>
    </w:p>
    <w:p>
      <w:r>
        <w:t>Au vu de ce qui précède, le recours, manifestement mal fondé, doit être rejeté sans échange d'écritures (art. 390 al. 2 CPP), dans la mesure où il est recevable (cf. supra consid. 1.2), et l'ordonnance attaquée confirmée. Les frais de la procédure de recours, constitués en l’espèce du seul émolument d’arrêt (art. 422 al. 1 CPP), par 660 fr. (art. 20 al. 1 TFIP [Tarif des frais de procédure et indemnités en matière pénale du 28 septembre 2010 ; BLV 312.03.1]), seront mis à la charge du recourant, qui succombe (art. 428 al. 1, 1 re phrase, CPP). Par ces motifs, la Chambre des recours pénale prononce : I. Le recours est rejeté dans la mesure où il est recevable. II. L’ordonnance du 19 janvier 2021 est confirmée. III. Les frais d’arrêt, par 660 fr. (six cent soixante francs), sont mis à la charge de F.________. IV. L’arrêt est exécutoire. Le président :               La greffière : Du Le présent arrêt, dont la rédaction a été approuvée à huis clos, est notifié, par l'envoi d'une copie complète, à : - M. F.________,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