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213 vom 11. März 2021</w:t>
      </w:r>
    </w:p>
    <w:p>
      <w:r>
        <w:t>VD Tribunal cantonal, 2021-03-11, FR</w:t>
      </w:r>
    </w:p>
    <w:p>
      <w:r>
        <w:rPr>
          <w:b/>
        </w:rPr>
        <w:t xml:space="preserve">Quelle: </w:t>
      </w:r>
      <w:r>
        <w:t>https://mcp.opencaselaw.ch/entscheid/vd_findinfo_D_cision___2021___213</w:t>
      </w:r>
    </w:p>
    <w:p>
      <w:r>
        <w:t>FR: VD_FINDINFO Décision / 2021 / 213 du 11 mars 2021</w:t>
      </w:r>
    </w:p>
    <w:p>
      <w:r>
        <w:t>IT: VD_FINDINFO Décision / 2021 / 213 del 11 marzo 2021</w:t>
      </w:r>
    </w:p>
    <w:p>
      <w:pPr>
        <w:pStyle w:val="Heading2"/>
      </w:pPr>
      <w:r>
        <w:t>Regeste</w:t>
      </w:r>
    </w:p>
    <w:p>
      <w:r>
        <w:t>DÉTENTION POUR DES MOTIFS DE SÛRETÉ, RISQUE DE COLLUSION, RISQUE DE RÉCIDIVE, MESURE DE SUBSTITUTION À LA DÉTENTION | 221 al. 1 let. b CPP (CH), 221 al. 1 let. c CPP (CH), 229 al. 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la loi (art. 222 et 393 al. 1 let. c CPP), par un détenu qui a la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229 al. 1 CPP prévoit que, sur demande écrite du Ministère public, le Tribunal des mesures de contrainte statue sur la détention pour des motifs de sûreté lorsqu'elle fait suite à une détention provisoire.</w:t>
      </w:r>
    </w:p>
    <w:p>
      <w:r>
        <w:rPr>
          <w:b/>
        </w:rPr>
        <w:t>E. 3.1</w:t>
      </w:r>
    </w:p>
    <w:p>
      <w:r>
        <w:t>Le recourant expose que la procureure a rejeté sa demande de mise en œuvre d’une nouvelle expertise psychiatrique dans l’acte d’accusation du 15 février 2021, notamment sur la question essentielle du risque de récidive. Il indique qu’il est conscient qu’il ne peut pas demander à la Cour de céans d’ordonner une telle expertise, mais qu’il n’en demeure pas moins que le dossier est incomplet, puisque l’absence d’une nouvelle expertise le place dans l’impossibilité de faire la preuve que le risque de réitération est inexistant. Pour ces motifs, il fait valoir une violation du droit d’être entendu au sens de l’art. 29 Cst., respectivement de son droit à l’administration des preuves pertinentes.</w:t>
      </w:r>
    </w:p>
    <w:p>
      <w:r>
        <w:rPr>
          <w:b/>
        </w:rPr>
        <w:t>E. 3.2</w:t>
      </w:r>
    </w:p>
    <w:p>
      <w:r>
        <w:t>Aux termes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Les informations visées à l’al. 1 et les décisions rendues en vertu de l’al. 2 ne sont pas sujettes à recours (al. 3).</w:t>
      </w:r>
    </w:p>
    <w:p>
      <w:r>
        <w:rPr>
          <w:b/>
        </w:rPr>
        <w:t>E. 3.3</w:t>
      </w:r>
    </w:p>
    <w:p>
      <w:r>
        <w:t>Comme le recourant l’observe lui-même, il sait qu’il ne peut pas, à ce stade de la procédure, solliciter de la Cour de céans qu’elle ordonne la mise en œuvre d’une nouvelle expertise psychiatrique, mais qu’il pourra le faire auprès du Tribunal correctionnel. Le recourant ne peut pas se prévaloir d’une violation de son droit d’être entendu parce que la procureure a estimé que cette preuve était superflue. En effet, cela reviendrait à contourner l’art. 318 al. 3 CPP, qui dispose explicitement que la décision de la procureure à cet égard n’est pas sujette à recours. Au demeurant, la procureure a relaté en détail les raisons pour lesquelles l’expertise psychiatrique satisfaisait aux critères de valeur probante. Le grief du recourant est par conséquent infondé.</w:t>
      </w:r>
    </w:p>
    <w:p>
      <w:r>
        <w:rPr>
          <w:b/>
        </w:rPr>
        <w:t>E. 4</w:t>
      </w:r>
    </w:p>
    <w:p>
      <w:r>
        <w:t>Le recourant se plaint que la détention pour des motifs de sûreté a des effets délétères sur son état de santé, que son suivi médical en détention n’est pas adéquat et que cette « forme de maltraitance » pourrait d’ores et déjà engager la responsabilité de l’Etat de Vaud. Comme déjà expliqué dans l’arrêt de la Cour de céans du 3 février 2021 (consid. 3.3), il appartient au Service pénitentiaire d’assurer le suivi médical des détenus, éventuellement de décider d’un transfert en milieu hospitalier. En d’autres termes, quel que soit l’état de santé du prévenu, cela n’a aucune influence sur l’examen des conditions de la détention pour des motifs de sûreté, tant par le Tribunal des mesures de contrainte que par la Cour de céans. L’argument du recourant doit une nouvelle fois être écarté.</w:t>
      </w:r>
    </w:p>
    <w:p>
      <w:r>
        <w:rPr>
          <w:b/>
        </w:rPr>
        <w:t>E. 5.1</w:t>
      </w:r>
    </w:p>
    <w:p>
      <w:r>
        <w:t>Le recourant se prévaut des éléments nouveaux que sont la clôture de l’instruction et le renvoi de la cause pour jugement. Il fait valoir que, dans la mesure où la procureure n’a plus entrepris aucune opération d’instruction depuis son avis de prochaine clôture du 8 janvier 2021 et que les divergences entre les coaccusés sont celles que l’on rencontre d’expérience dans la plupart des procédures pénales, le risque de collusion est infime, pour ne pas dire purement théorique et abstrait.</w:t>
      </w:r>
    </w:p>
    <w:p>
      <w:r>
        <w:rPr>
          <w:b/>
        </w:rPr>
        <w:t>E. 5.2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 ATF 132 I 21 consid. 3.2 et les références). Plus l'instruction se trouve à un stade avancé et les faits établis avec précision, plus les exigences relatives à la preuve de l'existence d'un risque de collusion sont élevées (ATF 137 IV 122 consid. 4.2 ; ATF 132 I 21 consid. 3.2.2). Un examen particulier s’impose notamment après la clôture de l’instruction (art. 318 CPP), quand l’acte d’accusation a été rédigé (art. 325 CPP), lorsque les débats de première instance ont été fixés (art. 331 CPP ; TF 1B_318/2019 du 15 juillet 2019 consid. 2.1 et les références) ou lorsque ceux-ci ont eu lieu (art. 335 à 351 CPP). En effet, le motif de détention de l’art. 221 al. 1 let. b CPP tend avant tout à assurer le bon déroulement de l’instruction ; il protège cependant également l’établissement des faits par l’autorité judiciaire, notamment dans le cadre, certes limité, de l’administration des preuves durant les débats (art. 343 et 405 al. 1 CPP ; TF 1B_318/2019 précité). Cette mesure peut en particulier s’imposer lorsque l’accusation repose essentiellement sur les dépositions, notamment opposées, des participants (ATF 143 IV 241 consid. 2.2.2) ou sur de simples indices (TF 1B_318/2019 précité). A cet égard, le Tribunal fédéral a insisté sur le principe de l’oralité et de l’immédiateté des débats, le juge devant non seulement tenir compte du contenu des déclarations mais aussi de la manière dont celles-ci sont émises ; les déclarations que les différents participants – témoins ou coprévenus – pourraient être amenés à faire représentent donc un moyen de preuve dont la connaissance directe par le tribunal est nécessaire au prononcé du jugement, et qu’il peut donc s’avérer indispensable de préserver de toute influence de la part du ou des coprévenus (TF 1B_318/2019 précité).</w:t>
      </w:r>
    </w:p>
    <w:p>
      <w:r>
        <w:rPr>
          <w:b/>
        </w:rPr>
        <w:t>E. 5.3</w:t>
      </w:r>
    </w:p>
    <w:p>
      <w:r>
        <w:t>En l’espèce, certes, comme l’affirme le recourant, la plupart des mesures d’instruction ont été exécutées. Il n’en demeure pas moins que, dans son arrêt du 3 février 2021 (consid. 5.3), la Cour de céans a observé qu’il subsistait des divergences importantes entre la version des faits du recourant et celle de son acolyte, notamment quant au mobile du crime et au degré de préméditation et de préparation de la tentative de brigandage. Les déclarations que les deux coaccusés seront amenés à faire devant le Tribunal correctionnel constitueront donc un moyen de preuve dont la connaissance directe par le tribunal sera nécessaire au prononcé de son jugement. A cela s’ajoute que la version des faits concédée par le recourant diverge également de celle de la victime, le premier nommé persistant à minimiser l’ampleur de sa participation aux faits qui lui sont reprochés. Dans ces conditions, il est toujours à craindre que le recourant mette sa liberté à profit pour entrer en contact avec son coprévenu et/ou sa victime dans le but de les influencer, voire de faire pression sur eux pour que leurs versions concordent avec la sienne. Le risque de collusion est donc bel et bien toujours existant et concret, de sorte qu’il paraît nécessaire que le recourant demeure en détention jusqu’à l’audience de jugement.</w:t>
      </w:r>
    </w:p>
    <w:p>
      <w:r>
        <w:rPr>
          <w:b/>
        </w:rPr>
        <w:t>E. 6.1</w:t>
      </w:r>
    </w:p>
    <w:p>
      <w:r>
        <w:t>Le recourant conteste tout risque de récidive. Il soutient que l’arrêt de la Cour de céans du 3 février 2021 indique à tort qu’il a été condamné, le 16 septembre 2019, par le Tribunal des districts de Martigny/St-Maurice, pour violation grave des règles de la circulation routière et conduite en état d’ébriété qualifiée, dès lors que cette condamnation a fait l’objet d’un appel au Tribunal cantonal, qui n’a pas encore rendu son jugement. Le recourant invoque par ailleurs plusieurs éléments témoignant de sa volonté de se réinsérer : il n’est pas connu de l’Office des poursuites, il pourra aller vivre chez sa mère à sa sortie de prison, il pourra continuer à bénéficier de son droit aux indemnités journalières de l’assurance-chômage, il travaille à la bibliothèque de la prison, il a écrit à sa victime et il est disposé à suivre un traitement psychiatrique. Enfin, il conteste le risque de récidive « moyen à élevé » retenu dans l’expertise psychiatrique du 10 décembre 2020, dans la mesure où cette conclusion se fonde sur les considérations lacunaires des experts.</w:t>
      </w:r>
    </w:p>
    <w:p>
      <w:r>
        <w:rPr>
          <w:b/>
        </w:rPr>
        <w:t>E. 6.2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 TF 1B_182/2020 du 4 mai 2020 consid. 5.1).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w:t>
      </w:r>
    </w:p>
    <w:p>
      <w:r>
        <w:rPr>
          <w:b/>
        </w:rPr>
        <w:t>E. 6.3</w:t>
      </w:r>
    </w:p>
    <w:p>
      <w:r>
        <w:t>En l’espèce, on peut donner acte au recourant que la condamnation du 16 septembre 2019 par le Tribunal des districts de Martigny/St-Maurice n’est pas définitive. Les trois conditions posées par la jurisprudence pour retenir un risque de récidive sont toutefois réunies. D’abord, les faits reprochés au recourant sont graves puisqu'il n’a pas hésité à porter atteinte à l'intégrité physique d'un homme âgé en lui assénant des coups au niveau de la tête et des bras notamment avec un pied-de-biche. Les photographies des blessures du vieil homme sont impressionnantes (P. 46/1 à 46/12). Auparavant, le recourant avait déjà mis en péril l’intégrité physique de tiers en conduisant en état d’ébriété (jugement du 17 mai 2016). De plus, deux enquêtes sont ouvertes contre lui (cf. expertise, pp. 13-14) : le 14 janvier 2018, il aurait récidivé en conduisant en état d’ébriété (1,92 g/kg), avec un passager, en faisant des tonneaux et en terminant sa course sur le toit (jugement du 16 septembre 2019) ; le 11 mai 2019, dans le cadre du service militaire, il aurait pointé une arme à feu munitionnée, chargée et désassurée sur un camarade. A cela s’ajoute que, le 1 er mars 2018, également dans le cadre du service militaire, il aurait consommé beaucoup d’alcool à la caserne de Bière et pris un couteau suisse dans le but de mettre fin à ses jours. Le comportement du recourant comporte indéniablement une propension inquiétante à la violence mettant en danger la sécurité d’autrui, en s’en prenant physiquement à des personnes ou en mettant en danger leur intégrité physique. Ensuite, comme déjà exposé par la Cour de céans dans son arrêt du 3 février 2021, on ne peut que constater que l’expertise psychiatrique circonstanciée et détaillée du 10 décembre 2020 retient un risque de récidive moyen à élevé d’actes de même nature et qu’il n’y a pas lieu de se référer au rapport établi par le médecin traitant (consid. 6.3). En outre, les experts ont relevé que le recourant ne semblait pas avoir intégré ni la gravité ni les conséquences de ses actes délictueux (expertise, p. 27). Contrairement à ce que le recourant plaide, un expert psychiatre peut parfaitement qualifier un risque de réitération de « modéré (ou moyen) à élevé » et non pas uniquement de « moyen » ou d’« élevé ». Le risque que le recourant s’en prenne à nouveau aux biens juridiques les plus précieux que sont la vie et l’intégrité corporelle est par conséquent patent et toujours d’actualité.</w:t>
      </w:r>
    </w:p>
    <w:p>
      <w:r>
        <w:rPr>
          <w:b/>
        </w:rPr>
        <w:t>E. 7.1</w:t>
      </w:r>
    </w:p>
    <w:p>
      <w:r>
        <w:t>A supposer que l’une ou l’autre des conditions de la détention pour des motifs de sûreté soit réalisée, le recourant conclut à la mise en œuvre de mesures de substitution, à savoir l’obligation d’avoir un travail régulier, l’obligation de se soumettre à un traitement psychiatrique ambulatoire et l’interdiction d’approcher ou d’entrer en contact de quelque manière que ce soit avec toute personne dans le cadre de la procédure.</w:t>
      </w:r>
    </w:p>
    <w:p>
      <w:r>
        <w:rPr>
          <w:b/>
        </w:rPr>
        <w:t>E. 7.2</w:t>
      </w:r>
    </w:p>
    <w:p>
      <w:r>
        <w:t>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 e éd., Bâle 2019, n. 2 ad art. 237 CPP).</w:t>
      </w:r>
    </w:p>
    <w:p>
      <w:r>
        <w:rPr>
          <w:b/>
        </w:rPr>
        <w:t>E. 7.3</w:t>
      </w:r>
    </w:p>
    <w:p>
      <w:r>
        <w:t>En l’espèce, on ne peut que douter du succès de la recherche d’un travail régulier et du suivi d’un traitement médical par le recourant. En effet, celui-ci n’indique pas qu’il aurait repris contact avec [...], dès lors qu’il était prévu qu’il débute un stage dans la logistique du 3 au 21 août 2020 avant son incarcération (recours, p. 9). Il n’indique pas non plus qu’il aurait à tout le moins repris contact avec son conseiller de l’Office régional de placement. Il semble s’être contenté du fait que la commune de Martigny lui aurait répondu qu’elle n’avait plus besoin de ses services en tant que « coach en circulation routière » (recours, p. 9). De plus, le recourant a indiqué qu’après avoir débuté deux apprentissages de forestier-bûcheron et de plâtrier-peintre (qu’il n’a pas terminés), il avait depuis lors enchaîné les petits jobs temporaires et n’avait pas eu de contrat de travail d’une durée supérieure à trois mois (expertise, p. 10). Autant dire que le recourant ne justifie d’aucune assiduité dans aucun de ses emplois. La condition de l’obligation d’avoir un travail régulier n’apparaît à ce stade pas réalisable. S’agissant de l’obligation d’un suivi médical, comme exposé dans l’arrêt de la Cour de céans du 3 février 2021 (consid. 7.3), le traitement psychique initié en détention a dû être interrompu après quelques séances, faute d’intérêt de l’intéressé à sa poursuite. Cela coïncide d’ailleurs avec les conclusions des psychiatres selon lesquelles l’expertisé présente des difficultés à reconnaître les troubles psychiques dont il souffre et, par conséquent, la nécessité d’un suivi psychiatrique et psychothérapeutique (expertise, p. 35). La condition de l’obligation de suivre un tel traitement médical s’avère donc en l’état vouée à l’échec. Quant à l’interdiction de périmètre, on ne peut que répéter les motifs déjà formulés par la Cour de céans dans son arrêt du 3 février 2021 (consid. 7.3), à savoir que le recourant ne semble pas en mesure à ce stade de respecter les injonctions ou interdictions qui pourraient être prononcées. Vu les éléments qui précèdent, il est manifeste qu’aucune des mesures de substitution proposées n’apparaît susceptible de pallier les risques de collusion et de récidive retenus. Il n’en existe d’ailleurs aucune autre.</w:t>
      </w:r>
    </w:p>
    <w:p>
      <w:r>
        <w:rPr>
          <w:b/>
        </w:rPr>
        <w:t>E. 8</w:t>
      </w:r>
    </w:p>
    <w:p>
      <w:r>
        <w:t>Enfin, le recourant conteste le fait que sa détention pour des motifs de sûreté soit fixée jusqu’au 18 mai 2021, alors que la lecture du jugement est prévue le 12 mai 2021 en fin de journée. S’il est vrai que cette marge ne se justifie pas entièrement, cela est toutefois la pratique de prolonger une détention provisoire pour des motifs de sûreté jusqu’à une date postérieure aux débats. La date fixée au 18 mai 2021 n’aura de toute manière aucune incidence sur le dispositif que le Tribunal correctionnel rendra le 12 mai 2021.</w:t>
      </w:r>
    </w:p>
    <w:p>
      <w:r>
        <w:rPr>
          <w:b/>
        </w:rPr>
        <w:t>E. 9</w:t>
      </w:r>
    </w:p>
    <w:p>
      <w:r>
        <w:t>Il résulte de ce qui précède que le recours, manifestement mal fondé, doit être rejeté sans échange d'écritures (art. 390 al. 2 CPP) et l’ordonnance entreprise confirmée. Les frais de la procédure de recours sont fixés à 1’650 fr. (art. 20 al. 1 TFIP [Tarif des frais de procédure et indemnités en matière pénale du 28 septembre 2010 ; BLV 312.03.1]). Au vu de l’acte de recours du défenseur d’office et de la nature de la cause, il sera retenu 4 heures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et 7,7 % pour la TVA, de sorte que l'indemnité d'office est arrêtée au total à 791 francs.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février 2021 est confirmée. III. L'indemnité allouée à Me Jean-Luc Addor, défenseur d'office de X.________, est fixée à 791 fr. (sept cent nonante et un francs). IV. Les frais d'arrêt, par 1'650 fr. (mille six cent cinquante francs), ainsi que l'indemnité allouée à Me Jean-Luc Addor, par 791 fr. (sept cent nonante et un francs), sont mis à la charge de X.________. V. Le remboursement à l'Etat de l'indemnité allouée sous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Jean-Luc Addor, avocat (pour X.________), - Ministère public central, et communiqué à : - M. le Président du Tribunal des mesures de contrainte, - Mme la Procureure cantonale Strada, - Tribunal correctionnel de l’arrondissement de la Broye et du Nord vaudois, - Me Manuela Ryter Godel, avocate (pour E.________),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