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21 vom 3. Dezember 2020</w:t>
      </w:r>
    </w:p>
    <w:p>
      <w:r>
        <w:t>VD Tribunal cantonal, 2020-12-03, FR</w:t>
      </w:r>
    </w:p>
    <w:p>
      <w:r>
        <w:rPr>
          <w:b/>
        </w:rPr>
        <w:t xml:space="preserve">Quelle: </w:t>
      </w:r>
      <w:r>
        <w:t>https://mcp.opencaselaw.ch/entscheid/vd_findinfo_D_cision___2021___21</w:t>
      </w:r>
    </w:p>
    <w:p>
      <w:r>
        <w:t>FR: VD_FINDINFO Décision / 2021 / 21 du 3 décembre 2020</w:t>
      </w:r>
    </w:p>
    <w:p>
      <w:r>
        <w:t>IT: VD_FINDINFO Décision / 2021 / 21 del 3 dicembre 2020</w:t>
      </w:r>
    </w:p>
    <w:p>
      <w:pPr>
        <w:pStyle w:val="Heading2"/>
      </w:pPr>
      <w:r>
        <w:t>Regeste</w:t>
      </w:r>
    </w:p>
    <w:p>
      <w:r>
        <w:t>CLASSEMENT DE LA PROCÉDURE, FAUX MATÉRIEL DANS LES TITRES | 251 ch. 1 CP, 310 CPP (CH)</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En l'espèce, déposé en temps utile et dans les formes prescrites (art. 385 al. 1 CPP) devant l'autorité compétente par l’auteur de la plainte pénale, qui a qualité pour recourir (art. 382 al. 1 CPP), le recours est recevable.</w:t>
      </w:r>
    </w:p>
    <w:p>
      <w:r>
        <w:rPr>
          <w:b/>
        </w:rPr>
        <w:t>E. 2.1</w:t>
      </w:r>
    </w:p>
    <w:p>
      <w:r>
        <w:t>Le recourant reproche en substance au Ministère public d’avoir rendu, tardivement, une ordonnance de non-entrée en matière, alors que des mesures d’instruction avaient été menées et de ne pas avoir mis en œuvre tous les moyens nécessaires pour élucider les faits, en particulier en entendant l’ancien bailleur P.________.</w:t>
      </w:r>
    </w:p>
    <w:p>
      <w:r>
        <w:rPr>
          <w:b/>
        </w:rPr>
        <w:t>E. 2.2.1</w:t>
      </w:r>
    </w:p>
    <w:p>
      <w:r>
        <w:t>Conformément à l'art. 310 al. 1 let. a CPP, le Ministère public rend immédiatement – c'est-à-dire sans qu'une instruction soit ouverte (cf. not. CREP 28 octobre 2020/806 consid. 3.2) – une ordonnance de non-entrée en matière lorsqu'il apparaît, à réception de la dénonciation (cf. art. 301 s. CPP) ou de la plainte (Grodecki/Cornu, in Jeanneret/Kuhn/Perrier Depeursinge [édit.], Commentaire romand, Code de procédure pénale suisse, 2 e éd., Bâle 2019, n. 1 ad art. 310 CPP) ou après une procédure préliminaire limitée aux investigations de la police (art. 300 al. 1, 306 et 307 CPP), que les éléments constitutifs d'une infraction ou les conditions d'ouverture de l'action pénale ne sont manifestement pas réunis (TF 6B_196/2020, déjà cité, consid. 3.1).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JdT 2015 IV 280 ; TF 6B_335/2020 du 7 septembre 2020 consid. 3.3.4 ; TF 6B_834/2019 du 11 décembre 2019 consid. 3.3.1). Dans le doute, lorsque les conditions d'une non-entrée en matière ne sont pas réalisées avec une certitude absolue, l'instruction doit être ouverte (TF 6B_834/2019, déjà cité, consid. 3.3.2 : TF 6B_553/2019 du 6 novembre 2019 consid. 3.1 ; cf. ATF 143 IV 241 consid. 2.2.1, JdT 2017 IV 357 ; ATF 138 IV 86 consid. 4.1, SJ 2012 I 304, JdT 2013 IV 211 ; ATF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2.2.2</w:t>
      </w:r>
    </w:p>
    <w:p>
      <w:r>
        <w:t>Selon l'art. 251 ch. 1 CP (Code pénal suisse du 21 décembre 1937 ; RS 311.0),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notamment le titre faux ou la falsification d'un titre, soit le faux matériel.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(TF 6B_613/2020 du 17 septembre 2020 consid. 1.1.1 ; TF 6B_1406/2019 du 19 mai 2020 consid. 1.1 destiné à la publication ; ATF 144 IV 13 consid. 2.2.2, JdT 2018 IV 189).</w:t>
      </w:r>
    </w:p>
    <w:p>
      <w:r>
        <w:rPr>
          <w:b/>
        </w:rPr>
        <w:t>E. 2.3</w:t>
      </w:r>
    </w:p>
    <w:p>
      <w:r>
        <w:t>En l’espèce, le recourant avait joint à sa plainte pénale un courrier du 5 décembre 2020 (P. 4/4) signé par P.________, dernier bailleur d’D.________ en France, selon lequel celui-ci n’avait pas connaissance du document intitulé « état des lieux de sortie » daté du 31 juillet 2017, soit du document qu’D.________ avait produit dans le cadre de la procédure en modification du jugement de divorce qu’elle avait initiée devant le Tribunal civil de l’arrondissement de La Côte. Dans ce courrier, P.________ précisait en outre qu’il n’avait pas établi le document du 31 juillet 2017 contradictoirement et qu’il ne l’avait pas signé. Il ajoutait qu’il avait signé un état des lieux le 23 septembre 2017. Certes, entendue par la police le 16 juillet 2020, D.________ a déclaré que P.________ avait fourni à son ex-mari une attestation mensongère, au motif qu’il avait conservé sa garantie de loyer. Il n’en demeure pas moins que les mesures d’instruction mises en œuvre par la procureure – qui excèdent du reste probablement ce que l’art. 309 al. 2 CPP autorise sans ouverture d’instruction, cette question pouvant rester ouverte – ne permettent pas d’exclure qu’D.________ a fait usage dans la procédure civile d’un titre faux ou falsifié. On relèvera que la motivation de l’ordonnance ne porte pas sur cette question, puisque la procureure se limite à exposer que le déménagement de l’intéressée serait bien intervenu au début du mois d’août 2017 et qu’il n’est pas exclu que le document litigieux ait été signé le 31 juillet 2017. Ces éléments ne suffisent manifestement pas à exclure d’emblée qu’un faux dans les titres a été commis. Il s’impose dès lors d’entendre P.________ comme témoin, ce qui implique l’ouverture d’une instruction pénale.</w:t>
      </w:r>
    </w:p>
    <w:p>
      <w:r>
        <w:rPr>
          <w:b/>
        </w:rPr>
        <w:t>E. 3.1</w:t>
      </w:r>
    </w:p>
    <w:p>
      <w:r>
        <w:t>Au vu de ce qui précède, le recours doit être admis, l’ordonnance entreprise annulée et la cause renvoyée au Ministère public de l’arrondissement de La Côte pour qu’il procède dans le sens du considérant qui précède.</w:t>
      </w:r>
    </w:p>
    <w:p>
      <w:r>
        <w:rPr>
          <w:b/>
        </w:rPr>
        <w:t>E. 3.2</w:t>
      </w:r>
    </w:p>
    <w:p>
      <w:r>
        <w:t>Les frais d’arrêt, par 770 fr. (art. 20 al. 1 TFIP [tarif des frais de procédure et indemnités en matière pénale du 28 septembre 2010 ; BLV 312.03.1]), seront laissés à la charge de l’Etat (art. 428 al. 4 CPP).</w:t>
      </w:r>
    </w:p>
    <w:p>
      <w:r>
        <w:rPr>
          <w:b/>
        </w:rPr>
        <w:t>E. 3.3</w:t>
      </w:r>
    </w:p>
    <w:p>
      <w:r>
        <w:t>Le recourant, qui a procédé avec l’assistance d’un avocat de choix et qui a obtenu gain de cause, a droit à une indemnité pour les dépenses occasionnées par la procédure de recours (art. 436 al. 1 CPP). L’indemnité demandée est excessive, puisqu’elle correspond à 6 h 30 de travail d’avocat à 450 fr. et à 3 h 30 d’activité d’avocat-stagiaire à 250 francs. Or, le tarif horaire déterminant (hors TVA) est de 250 fr. au minimum et de 350 fr. au maximum pour l'activité déployée par un avocat et de 160 fr. pour l'activité déployée par un avocat-stagiaire (art. 26a al. 3 TFIP). Au vu de la relative simplicité de la cause et des redites contenues dans le recours, l’indemnité sera fixée à 900 fr., correspondant à 3 h d’activité raisonnable et nécessaire au tarif horaire d’avocat de 300 fr., plus des débours forfaitaires à hauteur de 2 % des honoraires (art. 19 al. 2 TDC [tarif des dépens en matière civile du 23 novembre 2010 ; BLV 270.11.6], applicable par renvoi de l’art. 26a al. 6 TFIP), par 18 fr., et un montant correspondant à la TVA de 7,7 % sur le tout, par 70 fr. 70, soit à un montant total arrondi de 989 francs. Cette indemnité sera laissée à la charge de l’Etat. Par ces motifs, la Chambre des recours pénale prononce : I. Le recours est admis. II. L’ordonnance du 15 octobre 2020 est annulée. III. Le dossier de la cause est renvoyé au Ministère public de l’arrondissement de La Côte pour qu’il procède dans le sens des considérants. IV. Les frais d’arrêt, par 770 fr. (sept cent septante francs), sont laissés à la charge de l’Etat. V. Une indemnité de 989 fr. (neuf cent huitante-neuf francs) est allouée au recourant X.________ pour les frais liés à l’exercice raisonnable de ses droits de procédure en deuxième instance, à la charge de l’État. VI. L’arrêt est exécutoire. Le président :               La greffière : Du Le présent arrêt, dont la rédaction a été approuvée à huis clos, est notifié, par l'envoi d'une copie complète, à : - Me Thomas Barth (pour X.________), - D.________, - Ministère public central, et communiqué à : ‑ Mme la Procureure de l’arrondissement de La Côte,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