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195 vom 5. März 2021</w:t>
      </w:r>
    </w:p>
    <w:p>
      <w:r>
        <w:t>VD Tribunal cantonal, 2021-03-05, FR</w:t>
      </w:r>
    </w:p>
    <w:p>
      <w:r>
        <w:rPr>
          <w:b/>
        </w:rPr>
        <w:t xml:space="preserve">Quelle: </w:t>
      </w:r>
      <w:r>
        <w:t>https://mcp.opencaselaw.ch/entscheid/vd_findinfo_D_cision___2021___195</w:t>
      </w:r>
    </w:p>
    <w:p>
      <w:r>
        <w:t>FR: VD_FINDINFO Décision / 2021 / 195 du 5 mars 2021</w:t>
      </w:r>
    </w:p>
    <w:p>
      <w:r>
        <w:t>IT: VD_FINDINFO Décision / 2021 / 195 del 5 marzo 2021</w:t>
      </w:r>
    </w:p>
    <w:p>
      <w:pPr>
        <w:pStyle w:val="Heading2"/>
      </w:pPr>
      <w:r>
        <w:t>Regeste</w:t>
      </w:r>
    </w:p>
    <w:p>
      <w:r>
        <w:t>RISQUE DE RÉCIDIVE, DÉTENTION PROVISOIRE, SOUPÇON, REJET DE LA DEMANDE, PROLONGATION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qualité pour recourir (art. 382 al. 1 CPP) et dans les formes prescrites (art. 385 al. 1 CPP), le recours de G.________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forts soupçons de culpabilité à son encontre. Il fait valoir que de l’aveu même de la police, il n’existerait aucun élément permettant de l’incriminer formellement ou d’attester de sa présence sur les lieux. En outre, ses complices seraient absolument mis hors de cause.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Chaix, op. cit., n.</w:t>
      </w:r>
    </w:p>
    <w:p>
      <w:r>
        <w:rPr>
          <w:b/>
        </w:rPr>
        <w:t>E. 3.3</w:t>
      </w:r>
    </w:p>
    <w:p>
      <w:r>
        <w:t>En l’occurrence, pour considérer que l’exigence de l’existence de soupçons sérieux pesant sur G.________ est réalisée, on peut se référer, d’une part, aux précédentes ordonnances du Tribunal des mesures de contrainte, en particulier celle rendue le 3 novembre 2020 et, d’autre part, aux considérations développées par la Cour de céans dans son arrêt du 13 août 2020 (n° 629, spéc. consid. 3.3), qui conservent leur pertinence. On ajoutera encore que, contrairement à ce qu’affirme G.________, la conclusion du rapport de la police de sûreté ne le disculpe pas et le fait que celle-ci indique que tous les éléments recueillis semblent l’incriminer, et non l’incriminent n’est pas déterminant à ce stade. Certes, le recourant a toujours nié, de manière véhémente, avoir participé à l’agression de A.D.________ ; en outre, ce dernier a seulement reconnu sa voix. Il n’en demeure pas moins que les blessures au cou de celui-ci sont compatibles avec les faits qu’il dénonce et que l’ensemble des nombreuses vérifications faites à la suite des indications du prévenu pour le disculper n’ont pas abouti ; par ailleurs, G.________ a envoyé une multitude de messages à A.D.________ en indiquant qu’il voulait le tuer. Le fait que A.D.________ ait retiré sa plainte n’y change rien. Par ailleurs, l’ancienne compagne du recourant [...] a certes également retiré sa plainte pénale, qui avait entraîné l’ouverture d’une instruction pénale pour lésions corporelles simples, voies de fait, mise en danger de la vie d’autrui et vol d’importance mineure à l’encontre de G.________, de sorte que certains de ces faits, s’ils étaient retenus, ne seront quoi qu’il en soit pas sanctionnés ; il n’est néanmoins pas établi en l’état que tous ces faits seraient couverts par le retrait de plainte. A toutes fins utiles, on rappellera qu’il n'appartient en particulier pas au juge de la détention d'apprécier la crédibilité des déclarations des personnes qui mettent en cause le prévenu, mais uniquement d’examiner s'il existe des indices sérieux de culpabilité justifiant une détention provisoire. Or, au vu des éléments qui précèdent, il existe toujours, à ce stade de la procédure, des indices suffisants de la commission d’infractions, qui justifient le placement en détention provisoire du recourant. La première condition de l’art. 221 al. 1 CPP est ainsi réalisée. 4. 4.1 Le recourant conteste l’existence d’un risque de réitération. Il fait valoir que ce risque serait purement abstrait et qu’aucun élément au dossier ne permettrait d’établir que ce risque serait avéré. En outre, la détention subie lui aurait sans conteste fait prendre du recul par rapport à son comportement vis-à-vis de [...]. 4.2 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 4.3 En l’espèce, comme l’a relevé le Tribunal des mesures de contrainte dans ses précédentes ordonnances, le risque de réitération est concret. L’extrait du casier judiciaire de l’intéressé fait état de six condamnations prononcées entre le 5 novembre 2013 et le 22 novembre 2019, en particulier pour violence ou menace contre les autorités et les fonctionnaires, dommages à la propriété, injure, menaces et infractions à la Loi sur la circulation routière. En outre, si les accusations qui sont portées contre le prévenu devaient être retenues, elles seraient alors la conséquence de la mise à exécution de menaces proférées, et constitueraient ainsi une nette aggravation dans la nature des agissements délictueux de G.________. Enfin, le rapport d’expertise rendu postérieurement à la décision entreprise confirme que ce risque est concret. Il indique que celui-ci est élevé pour des actes illicites d’infraction contre le patrimoine, de violence contre les autorités et dans le cadre de difficultés affectives. Il retient également que si le prévenu était reconnu coupable de tentative de meurtre, ce risque serait plus important encore. 5. Les motifs fondant la détention provisoire étant alternatifs (TF 1B_249/2011 du 7 juin 2011 consid. 2.4), l’existence du risque de réitération dis­pen­se d’examiner si la détention provisoire se justifie également en raison des risques de fuite ou de collusion.</w:t>
      </w:r>
    </w:p>
    <w:p>
      <w:r>
        <w:rPr>
          <w:b/>
        </w:rPr>
        <w:t>E. 6</w:t>
      </w:r>
    </w:p>
    <w:p>
      <w:r>
        <w:t>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w:t>
      </w:r>
    </w:p>
    <w:p>
      <w:r>
        <w:rPr>
          <w:b/>
        </w:rPr>
        <w:t>E. 6.1</w:t>
      </w:r>
    </w:p>
    <w:p>
      <w:r>
        <w:t>Le recourant soutient, dans sa conclusion subsidiaire, que les mesures de substitution énumérées ci-dessus (cf. let. C. supra), suffiraient à limiter de manière suffisante le risque retenu.</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CPP,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op. cit., n. 2 ad art. 237 CPP).</w:t>
      </w:r>
    </w:p>
    <w:p>
      <w:r>
        <w:rPr>
          <w:b/>
        </w:rPr>
        <w:t>E. 6.3</w:t>
      </w:r>
    </w:p>
    <w:p>
      <w:r>
        <w:t>La Cour de céans considère qu’aucune mesure de substitution n’est à même de prévenir le risque retenu. En outre, le recourant n’indique aucunement en quoi les mesures de substitution qu’il propose permettraient de limiter ce risque, si ce n’est en expliquant qu’elles empêcheraient la survenance d’un éventuel comportement répréhensible du prévenu. Quoi qu’il en soit, il y a lieu de constater au vu de l’expertise qu’un étayage social est nécessaire sous forme d’une prise en charge institutionnelle. Ainsi des mesures de substitution ne pourraient être envisagées que sous cette forme.</w:t>
      </w:r>
    </w:p>
    <w:p>
      <w:r>
        <w:rPr>
          <w:b/>
        </w:rPr>
        <w:t>E. 7</w:t>
      </w:r>
    </w:p>
    <w:p>
      <w:r>
        <w:t>Pour le surplus, le recourant est détenu depuis le 30 mai 2020, soit depuis un peu plus de neuf mois. Il s’expose à une peine privative de liberté d’une durée supérieure à celle de la détention provisoire subie à ce jour, respectivement à subir jusqu’au 28 mai 2021. C’est dire que la durée de la prolongation de  la détention provisoire, respectivement la détention pour des motifs de sûretés, est proportionnée au regard de la peine susceptible d’être prononcée contre le prévenu en cas de condamnation (art. 212 al. 3 CPP).</w:t>
      </w:r>
    </w:p>
    <w:p>
      <w:r>
        <w:rPr>
          <w:b/>
        </w:rPr>
        <w:t>E. 8</w:t>
      </w:r>
    </w:p>
    <w:p>
      <w:r>
        <w:t>Au vu de ce qui précède, le recours, manifestement mal fondé, doit être rejeté sans échange d’écritures (art. 390 al. 2 CPP) et l’ordonnance du 16 février 2021 confirmée. L’indemnité allouée au défenseur d’office de G.________ sera fixée compte tenu d’une activité nécessaire estimée à 3 heures au tarif horaire de 180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10 fr. 80, plus 42 fr. 40 de TVA, à 594 fr., en chiffres arrondis. Les frais de la procédure de recours, constitués en l'espèce de l'émolument d'arrêt (art. 422 al. 1 CPP), par 1’430 fr. (art. 20 al. 1 TFIP), et des frais imputables à la défense d'office (art. 422 al. 1 et 2 let. a CPP), par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février 2021 est confirmée. III. L’indemnité allouée au défenseur d’office de G.________ est fixée à 594 fr. (cinq cent nonante-quatre francs). IV. Les frais d’arrêt, par 1’430 fr. (mille quatre cent trente francs), ainsi que l’indemnité due au défenseur d’office de G.________, par 594 fr. (cinq cent nonante-quatre francs), sont mis à la charge de ce dernier.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Amir Djafarrian, avocat (pour G.________), - Ministère public central, et communiqué à : ‑ Mme la Procureure de l’arrondissement de Lausanne, - M. le Président du Tribunal des mesures de contrainte, - M. A.D.________,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