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183 vom 3. März 2021</w:t>
      </w:r>
    </w:p>
    <w:p>
      <w:r>
        <w:t>VD Tribunal cantonal, 2021-03-03, FR</w:t>
      </w:r>
    </w:p>
    <w:p>
      <w:r>
        <w:rPr>
          <w:b/>
        </w:rPr>
        <w:t xml:space="preserve">Quelle: </w:t>
      </w:r>
      <w:r>
        <w:t>https://mcp.opencaselaw.ch/entscheid/vd_findinfo_D_cision___2021___183</w:t>
      </w:r>
    </w:p>
    <w:p>
      <w:r>
        <w:t>FR: VD_FINDINFO Décision / 2021 / 183 du 3 mars 2021</w:t>
      </w:r>
    </w:p>
    <w:p>
      <w:r>
        <w:t>IT: VD_FINDINFO Décision / 2021 / 183 del 3 marzo 2021</w:t>
      </w:r>
    </w:p>
    <w:p>
      <w:pPr>
        <w:pStyle w:val="Heading2"/>
      </w:pPr>
      <w:r>
        <w:t>Regeste</w:t>
      </w:r>
    </w:p>
    <w:p>
      <w:r>
        <w:t>DÉTENTION PROVISOIRE, RISQUE DE FUITE, RISQUE DE COLLUSION, RISQUE DE RÉCIDIVE |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w:t>
      </w:r>
    </w:p>
    <w:p>
      <w:r>
        <w:rPr>
          <w:b/>
        </w:rPr>
        <w:t>E. 3.1</w:t>
      </w:r>
    </w:p>
    <w:p>
      <w:r>
        <w:t>En l’espèce, le recourant ne conteste pas l’existence de soupçons suffisants à son encontre. A raison, vu les diverses personnes le mettant en cause pour des livraisons et ventes de cocaïne portant sur au moins 1'850 g bruts et 585,9 g purs et vu les montants élevés saisis chez lui. Il conteste en revanche l’existence d’un risque de fuite en faisant valoir qu'il dispose d’un domicile officiel en Suisse, ainsi que d’un domicile réel où la perquisition a eu lieu. Il fait en outre valoir qu’il bénéficie d’un permis valable jusqu’au 30 juin 2021 et que même si sa famille ne réside pas en Suisse, il y aurait un « tissu social » et aurait l’intention d’y rester. S’agissant de ses deux enfants en Espagne et de son enfant au Brésil, il explique n’avoir que des contacts sporadiques avec les premiers et aurait sciemment quitté le second pour venir en Suisse, de sorte qu’il n’aurait pas de liens étroits avec lui.</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 ; TF 1B_412/2014 du 12 janvier 2015 consid. 4.1).</w:t>
      </w:r>
    </w:p>
    <w:p>
      <w:r>
        <w:rPr>
          <w:b/>
        </w:rPr>
        <w:t>E. 3.3</w:t>
      </w:r>
    </w:p>
    <w:p>
      <w:r>
        <w:t>En l’espèce, le recourant fait exactement valoir les mêmes arguments que ceux déjà présentés dans ses déterminations du 14 novembre 2020 avant sa mise en détention provisoire. Or, dans son ordonnance du 15 novembre 2020, le Tribunal des mesures de contrainte avait déjà considéré que ces arguments ne permettaient pas d’écarter le risque de fuite. Le tribunal avait en effet retenu que la situation du prévenu en Suisse était précaire, nonobstant ses affirmations contraires, et que ses liens avec ce pays semblaient bien ténus, de sorte qu’on ne pouvait exclure qu’en cas de libération, au vu de la gravité des faits qui lui étaient reprochés et de la peine privative de liberté prévisible, que Q.________ préfère tout sacrifier pour se soustraire aux conséquences d’une éventuelle condamnation. Dans l’ordonnance attaquée, le tribunal renvoie à sa motivation précédente au motif qu’aucun élément nouveau ne venait la remettre en cause. L’appréciation des premiers juges, toujours pertinente et fondée, ne prête pas le flanc à la critique et doit être confirmée. En effet, on doit retenir que les liens que le recourant entretient avec la Suisse sont pour le moins ténus et ne reposent pour l’essentiel que sur les activités délictueuses qu’il est soupçonné avoir menées. Le fait que les liens avec ses enfants seraient inexistants ou distendus n’y change rien. Le risque de fuite est manifeste, compte tenu également de la lourde peine à laquelle il s’expose.</w:t>
      </w:r>
    </w:p>
    <w:p>
      <w:r>
        <w:rPr>
          <w:b/>
        </w:rPr>
        <w:t>E. 4</w:t>
      </w:r>
    </w:p>
    <w:p>
      <w:r>
        <w:t>Le recourant conteste que le risque de collusion soit concret.</w:t>
      </w:r>
    </w:p>
    <w:p>
      <w:r>
        <w:rPr>
          <w:b/>
        </w:rPr>
        <w:t>E. 4.1</w:t>
      </w:r>
    </w:p>
    <w:p>
      <w:r>
        <w:t>Le placement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(ATF 137 IV 122 précité consid. 4.2 ; ATF 132 I 21 consid. 3.2 et les références citées ; TF 1B_577/2020 du 2 décembre 2020 consid. 3.1). Plus l'instruction se trouve à un stade avancé et les faits sont établis avec précision, plus les exigences relatives à la preuve de l'existence d'un risque de collusion sont élevées (ATF 137 IV 122 précité ; ATF 132 I 21 précité).</w:t>
      </w:r>
    </w:p>
    <w:p>
      <w:r>
        <w:rPr>
          <w:b/>
        </w:rPr>
        <w:t>E. 4.2</w:t>
      </w:r>
    </w:p>
    <w:p>
      <w:r>
        <w:t>En l’espèce, pour retenir l’existence d’un risque concert de collusion, le Tribunal de mesures de contrainte a fait siens les motifs exposés par le Ministère public dans sa demande de prolongation de la détention provisoire datée du 1 er février 2021, à savoir que l’extraction des téléphones du recourant était en cours de finalisation, que cette mesure était d’une certaine ampleur notamment au vu du nombre de données et de la nécessité de faire intervenir des interprètes, et qu’elle pourrait déboucher sur d’autres actes d’instruction. Par ailleurs, diverses sociétés de transfert d’argent ont été interpellées afin de vérifier ses envois d’argent en lien avec son trafic de stupéfiants. Là encore, cette appréciation ne prête pas le flanc à la critique et doit être confirmée. En effet, il importe manifestement que le recourant – qui est soupçonné de s’être livré à un trafic de cocaïne à un niveau international, notamment entre le Brésil et la Suisse, et qui a admis avoir été interpellé au Brésil alors qu’il tentait d’acheminer 600 g de cocaïne en Hollande – ne puisse interférer avec l’enquête en cours, qui visent à déterminer l’ampleur de son activité et le cercle des personnes impliquées. Les mesures d’instruction en cours peuvent notamment déboucher sur l’interpellation et l’audition de complices ou de personnes susceptibles d’orienter utilement l’enquête sur l’activité délictueuse du prévenu. Il convient ainsi à tout prix d’éviter que celui-ci ne prenne contact avec des complices ou des personnes qui pourraient le mettre en cause ou encore qu’il fasse disparaître d’autres moyens de preuve, ce qui compromettrait alors irrémédiablement la recherche de la vérité.</w:t>
      </w:r>
    </w:p>
    <w:p>
      <w:r>
        <w:rPr>
          <w:b/>
        </w:rPr>
        <w:t>E. 5</w:t>
      </w:r>
    </w:p>
    <w:p>
      <w:r>
        <w:t>Les risques fondant la détention provisoire étant alternatifs, la question de l’existence d’un éventuel risque de réitération peut rester ouverte, dès lors que la détention est justifiée par l'existence d'un risque de fuite et de collusion.</w:t>
      </w:r>
    </w:p>
    <w:p>
      <w:r>
        <w:rPr>
          <w:b/>
        </w:rPr>
        <w:t>E. 6</w:t>
      </w:r>
    </w:p>
    <w:p>
      <w:r>
        <w:t>Le recourant soutient qu’il peut fournir des garanties prouvant qu'il se présentera à l'audience de jugement à intervenir. Il demande que des mesures de substitution soient mises en place telles que le dépôt de sûretés ou de son passeport, ou encore la présentation auprès de l’autorité désignée pour attester de sa présence en Suisse.</w:t>
      </w:r>
    </w:p>
    <w:p>
      <w:r>
        <w:rPr>
          <w:b/>
        </w:rPr>
        <w:t>E. 6.1</w:t>
      </w:r>
    </w:p>
    <w:p>
      <w:r>
        <w:t>Conformément au principe de la proportionnalité (art. 36 al. 3 Cst.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CPP,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Jeanneret et al. [éd.], Commentaire romand, Code de procédure pénale suisse, 2 e éd., Bâle 2019, n. 2 ad art. 237 CPP). L'art. 237 al. 3 CPP précise que, pour surveiller l'exécution de ces mesures, le tribunal peut ordonner l'utilisation d'appareils techniques qui peuvent être fixés à la personne sous surveillance. En présence d’un risque de fuite évident, une saisie des documents d’identité, une assignation à résidence – même assortie du bracelet électronique – et la présentation à un poste de police ne sont pas de nature à empêcher une personne de s’enfuir à l’étranger, voire de passer dans la clandestinité (ATF 145 IV 503 consid. 3.2).</w:t>
      </w:r>
    </w:p>
    <w:p>
      <w:r>
        <w:rPr>
          <w:b/>
        </w:rPr>
        <w:t>E. 6.2</w:t>
      </w:r>
    </w:p>
    <w:p>
      <w:r>
        <w:t>En l’espèce, le Tribunal des mesures de contrainte a retenu que les mesures de substitution déjà proposées par le recourant en novembre 2020 paraissaient en l’état totalement insuffisantes à prévenir le risque de fuite vu la facilité à franchir les frontières suisses sans être contrôlé. Cette appréciation n’est pas remise en cause par le recourant qui se contente d’affirmer qu’il veut rester en Suisse et y trouver un travail, n’ayant aucun intérêt à retourner au Brésil « compte tenu du risque qu’il encourt, lié au joug qu’il subit du dénommé [...] ». S’il est peut-être vrai que le recourant ne tient pas à fuir directement au Brésil, il n’empêche qu’il peut le faire à destination de tous les pays limitrophes de la Suisse ou encore à destination de l’Espagne dont il est ressortissant. Au vu de ce qui précède, c’est à raison que le Tribunal des mesures de contrainte a retenu que ni le dépôt des documents d’identité, ni l’interdiction de quitter la Suisse en se présentant à la police tous les jours, ne constitueraient une garantie sérieuse que le prévenu ne prenne la fuite ou tombe dans la clandestinité pour se soustraire à la procédure dont il fait l’objet. Par ailleurs, les mesures proposées ne sont pas aptes à pallier le risque de collusion, puisqu’elles ne seraient pas propre à empêcher le recourant de contacter les personnes impliquées dans son trafic, qu’elles soient situées plus haut ou plus bas que lui dans ledit trafic. On ne voit au demeurant pas quelles mesures pourraient être envisagées à cet égard.</w:t>
      </w:r>
    </w:p>
    <w:p>
      <w:r>
        <w:rPr>
          <w:b/>
        </w:rPr>
        <w:t>E. 7</w:t>
      </w:r>
    </w:p>
    <w:p>
      <w:r>
        <w:t>Le recourant conteste que le principe de la proportionnalité soit respecté, même à supposer que le sursis qui lui avait accordé soit révoqué dans la mesure où il devrait alors exécuter une peine pécuniaire et non une peine privative de liberté.</w:t>
      </w:r>
    </w:p>
    <w:p>
      <w:r>
        <w:rPr>
          <w:b/>
        </w:rPr>
        <w:t>E. 7.1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133 I 168 consid. 4.1; ATF 132 I 21 consid. 4.1; TF 1B_238/2017 du 5 juillet 2017 consid. 2.2). Il convient d'accorder une attention particulière à cette limite, car le juge de première instance ou d'appel pourrait être enclin à prendre en considération dans la fixation de la peine la durée de la détention avant jugement à imputer selon l'art. 51 CP (ATF 139 IV 270 consid. 3.1 p. 275 et la référence citée; TF 1B_11/2020 du 23 janvier 2020 consid. 4.1).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(ATF 145 IV 179 consid. 3.5; TF 1B_250/2019 du 14 juin 2019 consid. 5.1).</w:t>
      </w:r>
    </w:p>
    <w:p>
      <w:r>
        <w:rPr>
          <w:b/>
        </w:rPr>
        <w:t>E. 7.2</w:t>
      </w:r>
    </w:p>
    <w:p>
      <w:r>
        <w:t>En l’espèce, le recourant est détenu depuis le 12 décembre 2020, soit depuis un peu moins de trois mois. La prolongation de la détention provisoire a été ordonnée pour une durée de trois mois, soit jusqu’au 12 mai 2021 au plus tard. Le recourant est soupçonné d’avoir participé à un trafic international de drogue, entre juillet 2016 et juillet 2019, portant à tout le moins sur près de 2,5 kg brut de cocaïne en provenance du Brésil. Dans ces circonstances,  force est de constater que la durée de la prolongation de la détention provisoire, pour trois mois, est largement en deçà de la peine privative de liberté que le recourant encourt en cas de condamnation. La révocation éventuelle du sursis qui lui avait été octroyé le 27 octobre 2017 ne change rien à ce constat. Par ailleurs, le Tribunal des mesures de contrainte a retenu, à raison, que la durée de trois mois requise apparaissait nécessaire à la direction de la procédure pour procéder aux mesures d’instruction envisagées.</w:t>
      </w:r>
    </w:p>
    <w:p>
      <w:r>
        <w:rPr>
          <w:b/>
        </w:rPr>
        <w:t>E. 8</w:t>
      </w:r>
    </w:p>
    <w:p>
      <w:r>
        <w:t>A titre de mesures d’instruction, le recourant requiert la production de l’entier du dossier du Ministère public.</w:t>
      </w:r>
    </w:p>
    <w:p>
      <w:r>
        <w:rPr>
          <w:b/>
        </w:rPr>
        <w:t>E. 8.1</w:t>
      </w:r>
    </w:p>
    <w:p>
      <w:r>
        <w:t>Le droit d'être entendu, garanti par l'art. 29 al. 2 Cst. (Constitution fédérale de la Confédération suisse du 18 avril 1999 ; RS 101) et par l'art. 3 al. 2 let. c CPP, comprend notamment le droit pour l'intéressé d'obtenir qu'il soit donné suite à ses offres de preuves pertinentes, lorsque cela est de nature à influer sur la décision à rendre (ATF 143 III 65 consid. 3.2 ; ATF 142 II 218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Ce refus d'instruire ne viole ainsi le droit d'être entendu des parties que si l'appréciation anticipée de la pertinence du moyen de preuve offert, à laquelle le juge a procédé, est entachée d'arbitraire (ATF 141 I 60 consid. 3.3 et les réf. citées ; TF 1B_355/2019 du 31 juillet 2019 consid. 3.1).</w:t>
      </w:r>
    </w:p>
    <w:p>
      <w:r>
        <w:rPr>
          <w:b/>
        </w:rPr>
        <w:t>E. 8.2</w:t>
      </w:r>
    </w:p>
    <w:p>
      <w:r>
        <w:t>En l’occurrence, il n’y a pas lieu de donner suite à la requête de production du recourant. En effet, le dossier du Tribunal des mesures de contrainte a suffi à trancher le recours et on ne voit pas ce que le dossier complet pourrait contenir qui serait propre à modifier l’appréciation faite ci-dessus. Le recourant ne le précise du reste pas.</w:t>
      </w:r>
    </w:p>
    <w:p>
      <w:r>
        <w:rPr>
          <w:b/>
        </w:rPr>
        <w:t>E. 9</w:t>
      </w:r>
    </w:p>
    <w:p>
      <w:r>
        <w:t>Il résulte de ce qui précède que le recours, manifestement mal fondé, doit être rejeté sans échange d’écritures (art. 390 al. 2 CPP) et l’ordonnance entreprise confirmée. Les frais de la procédure de recours, constitués en l'espèce de l'émolument d'arrêt (art. 422 al. 1 CPP), par 1’430 fr. (art. 20 al. 1 TFIP [Tarif des frais de procédure et indemnités en matière pénale du 28 septembre 2010; BLV 312.03.1]), et des frais imputables à la défense d'office (art. 422 al. 1 et 2 let. a CPP), fixés à 395 fr. 45, montant arrondi à 396 fr., qui comprennent des honoraires par 360 fr. (2 heures nécessaires au tarif horaire de 180 fr., s’agissant d’une écriture qui reprend pour l’essentiel des arguments déjà invoqués), des débours forfaitaires à concurrence de 2 %, par 7 fr. 20 (art. 3 bis al. 1 RAJ [Règlement du 7 décembre 2010 sur l'assistance judiciaire en matière civile; BLV 211.02.3], applicable par renvoi de l’art. 26b TFIP), ainsi que la TVA sur le tout, par 28 fr. 30,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11 février 2021 est confirmée. III. L’indemnité allouée au défenseur d’office de Q.________ est fixée à 396 fr. (trois cent nonante-six francs). IV. Les frais d’arrêt, par 1'430 fr. (mille quatre cent trente francs), ainsi que l’indemnité due au défenseur d’office de Q.________ par 396 fr. (trois cent nonante-six francs), sont mis à la charge de ce dernier. V. Le remboursement à l'Etat de l'indemnité allouée au chiffre III ci-dessus ne sera exigible que pour autant que la situation financière de Q.________ le permette. VI. L’arrêt est exécutoire. Le président :               La greffière : Du Le présent arrêt, dont la rédaction a été approuvée à huis clos, est notifié, par l'envoi d'une copie complète, à : - Me Philippe Dal Col, avocat (pour Q.________), - Ministère public central, et communiqué à : - Mme la Présidente du Tribunal des mesures de contrainte, - M. le Procureur cantonal Strada, - Prison du Bois-Mermet, - Service de la population (10.12.1974),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