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178 vom 1. März 2021</w:t>
      </w:r>
    </w:p>
    <w:p>
      <w:r>
        <w:t>VD Tribunal cantonal, 2021-03-01, FR</w:t>
      </w:r>
    </w:p>
    <w:p>
      <w:r>
        <w:rPr>
          <w:b/>
        </w:rPr>
        <w:t xml:space="preserve">Quelle: </w:t>
      </w:r>
      <w:r>
        <w:t>https://mcp.opencaselaw.ch/entscheid/vd_findinfo_D_cision___2021___178</w:t>
      </w:r>
    </w:p>
    <w:p>
      <w:r>
        <w:t>FR: VD_FINDINFO Décision / 2021 / 178 du 1 mars 2021</w:t>
      </w:r>
    </w:p>
    <w:p>
      <w:r>
        <w:t>IT: VD_FINDINFO Décision / 2021 / 178 del 1 marzo 2021</w:t>
      </w:r>
    </w:p>
    <w:p>
      <w:pPr>
        <w:pStyle w:val="Heading2"/>
      </w:pPr>
      <w:r>
        <w:t>Regeste</w:t>
      </w:r>
    </w:p>
    <w:p>
      <w:r>
        <w:t>DÉTENTION POUR DES MOTIFS DE SÛRETÉ, MESURE DE SUBSTITUTION À LA DÉTENTION, RISQUE DE RÉCIDIVE, REJET DE LA DEMANDE, MESURE D'ÉLOIGNEMENT{EN GÉNÉRAL} | 221 al. 1 let. c CPP (CH), 237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un prévenu qui a qualité pour recourir (art. 222 et 382 al. 1 CPP) et dans les formes prescrites (art. 385 al. 1 CPP), le recours est recevable. Les pièces nouvelles produites par le recourant sont également recevables (cf. CREP 16 novembre 2020/905).</w:t>
      </w:r>
    </w:p>
    <w:p>
      <w:r>
        <w:rPr>
          <w:b/>
        </w:rPr>
        <w:t>E. 2</w:t>
      </w:r>
    </w:p>
    <w:p>
      <w:r>
        <w:t>let. b CPP) vise à prévenir le risque de fuite en empêchant le prévenu de quitter la Suisse (Moreillon/Parein-Reymond, op. cit., n. 16 ad art. 237 CPP).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 Quant à l’interdiction d’entretenir des relations avec certaines personnes (art. 237 al. 2 let. g CPP), elle vise premièrement à éviter le risque de collusion et de récidive (Moreillon/Parein-Reymond, op. cit., n. 36 ad art. 237 CPP et les références citées).</w:t>
      </w:r>
    </w:p>
    <w:p>
      <w:r>
        <w:rPr>
          <w:b/>
        </w:rPr>
        <w:t>E. 2.1.1</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w:t>
      </w:r>
    </w:p>
    <w:p>
      <w:r>
        <w:rPr>
          <w:b/>
        </w:rPr>
        <w:t>E. 2.1.2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 La saisie de documents d’identité et d’autres documents officiels (art. 237 al.</w:t>
      </w:r>
    </w:p>
    <w:p>
      <w:r>
        <w:rPr>
          <w:b/>
        </w:rPr>
        <w:t>E. 3.1</w:t>
      </w:r>
    </w:p>
    <w:p>
      <w:r>
        <w:t>Le recourant ne conteste pas, à juste titre, l’existence de soupçons suffisants de culpabilité à son encontre, ni même l’existence des risques de fuite et de réitération retenus, mais fait valoir que la mesure de substitution à forme de l’interdiction d’approcher seul de son épouse à moins de 300 mètres serait disproportionnée. Le recourant reproche tout d’abord au premier juge d’avoir constaté les faits de manière incomplète et inexacte. Il lui fait en particulier grief d’avoir minimisé son implication sérieuse et assidue dans le suivi prodigué par le Centre de prévention de la violence de l’Ale, en retenant de manière erronée qu’il n’aurait pris part qu’à une séance, alors que, selon une attestation du 29 janvier 2021 émise par cette institution, il aurait déjà participé à cinq entretiens socio-éducatifs et à quatre séances de groupe (cf. P. 57/1/2). Il expose en outre que, s’il a effectivement manqué une seule et unique séance, c’était en raison d’un empêchement professionnel, selon des explications qu’il aurait fournies au Ministère public dans un courrier du 4 janvier 2021 dont il n’existe pas de motif de douter de la crédibilité. Il fait enfin valoir que, s’il est vrai qu’aucun professionnel n’a attesté de la réussite du suivi, cela ne saurait être retenu à sa charge, dès lors que ceux-ci n’ont jamais été invités à produire de rapport. Le recourant fait en outre grief au Tribunal des mesures de contrainte d’avoir fait preuve de rigidité en ne tenant pas compte de la stabilité de la famille, ainsi que d’une sévérité qui ne se justifierait plus aujourd’hui compte tenu de l’évolution favorable de son comportement à l’égard de son épouse, qui ressortirait de l’attestation établie le 3 février 2021 par le Dr L.________ (P. 57/1/3), qui suit le recourant et son épouse depuis le 20 octobre 2020 dans le cadre d’une thérapie de couple, ce praticien jugeant qu’il était « envisageable, voire souhaitable » que les époux « vivent à nouveau ensemble, dès que possible, au plus vite selon mon avis », à condition de poursuivre la thérapie de couple ainsi que le suivi auprès du Centre de prévention de la violence de l’Ale. Il en déduit que l’interdiction d’approcher son épouse serait disproportionnée et même contre-indiquée et précise que les épisodes de violence survenus par le passé seraient liés à sa consommation d’alcool, mais fait valoir qu’il serait actuellement abstinent d’après l’attestation de ce médecin, qui préconiserait même de lever le contrôle d’alcool qui lui est par ailleurs imposé.</w:t>
      </w:r>
    </w:p>
    <w:p>
      <w:r>
        <w:rPr>
          <w:b/>
        </w:rPr>
        <w:t>E. 3.2</w:t>
      </w:r>
    </w:p>
    <w:p>
      <w:r>
        <w:t>Selon l'art. 237 al. 4 CPP, les dispositions sur la détention provisoire et la détention pour des motifs de sûreté s'appliquent par analogie au prononcé des mesures de substitution ainsi qu'au recours contre celles-ci.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Les mesures de substitution ne sauraient en effet sans autre être considérées comme des atteintes bénignes aux droits fondamentaux du prévenu (ATF 141 IV 190 consid. 3.3). A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(TF 1B_485/2019 du 12 novembre 2019 consid. 3 ; TF 1B_312/2019 du 10 juillet 2019 consid. 2.1; TF 1B_470/2016 du 16 janvier 2017 consid. 2.1).</w:t>
      </w:r>
    </w:p>
    <w:p>
      <w:r>
        <w:rPr>
          <w:b/>
        </w:rPr>
        <w:t>E. 3.3.1</w:t>
      </w:r>
    </w:p>
    <w:p>
      <w:r>
        <w:t>En l’espèce, le recourant ne conteste pas avoir, à deux reprises, fait l’objet d’enquêtes pénales pour avoir commis des actes de violence conjugale à l’encontre de [...], devenue B.R.________ par mariage, et ce notamment lorsqu’elle était enceinte de leur premier enfant ; il ne conteste pas l’avoir alors saisie au cou, menacée de mort et injuriée. Il ne conteste pas non plus avoir commis à nouveau des faits similaires au mois de juin 2019 et le 21 février 2020, ainsi que d’avoir récidivé durant l’enquête dans la nuit du 2 au 3 septembre 2020 en la menaçant avec un couteau, en la traînant dans la chambre à coucher, la plaquant sur le lit, lui mettant les deux mains autour du cou puis en lui donnant un coup de poing au visage lui occasionnant un hématome à l’œil. Il y a lieu de relever que cette récidive durant l’enquête a eu lieu quand bien même le Procureur l’avait formellement mis en garde, lors de son audition du 22 juillet 2020 (cf. PV aud., l. 137-138), ce à quoi le recourant avait répondu « Oui [i.e. : j’ai compris] et je m’engage à ne pas commettre de violences à l’égard de mon épouse à l’avenir » (PV aud., l. 140). Il faut donc constater, avec le Ministère public et le Tribunal des mesures de contrainte, que les précédentes procédures et les mises en garde n’ont pas empêché le recourant de commettre, sous l’influence de l’alcool, de nouveaux actes violents contre son épouse, ces actes s’étant apparemment même aggravés. L’existence d’un risque de réitération est donc patente. Il ressort par ailleurs d’une attestation du Centre de Prévention de l’Ale du 10 décembre 2020 que le prévenu a participé à cinq entretiens socio-éducatifs les 8 et 13 octobre, les 11 et 25 novembre ainsi que le 3 décembre 2020, et qu’à l’issue de cette première phase, il a été orienté dans le programme dit « Intégrale », qu’il s’est engagé à suivre par contrat. Selon un courrier dudit centre du 21 décembre 2020, le prévenu ne s’est toutefois pas présenté à un entretien en présentiel le 17 décembre 2020, auquel il avait été convoqué le 10 décembre 2020, ni n’a signalé son absence, de sorte que cette institution demeurait sans nouvelles de sa part. Interpellé par le Ministère public, le recourant a répondu, le 4 janvier 2021, qu’il avait eu un empêchement professionnel, sans préciser ni rendre vraisemblable cette assertion. Selon un rapport établi le 18 décembre 2020 par le Dr [...], responsable de l’Unité de toxicologie et de chimie forensiques du CURML, le résultat des cinq prélèvements effectués d’octobre à décembre 2020, considérés dans leur ensemble, ne soutiennent pas l’hypothèse d’une consommation massive et excessive d’éthanol chez le prévenu durant cette période ; il ressort en revanche du compte-rendu d’analyse du 12 janvier 2021 que le résultat est compatible avec une consommation importante, voire quotidienne, potentiellement problématique d’éthanol pendant les deux à trois semaines qui ont précédé le prélèvement du 6 janvier 2021. Lorsqu’il a statué, le Tribunal des mesures de contrainte était en possession des éléments qui précèdent, ainsi que de deux courriels produits le 22 janvier 2021 par le prévenu à l’appui de ses déterminations. Il s’agissait tout d’abord d’un courriel du 21 janvier 2021 de H.________, amie du couple qui héberge le prévenu depuis que celui-ci a été expulsé du domicile conjugal, aux termes duquel elle déclarait souhaiter que le prévenu puisse retourner vivre auprès de sa famille, pour le bien de celle-ci et en particulier de leurs deux enfants ; elle indiquait que le prévenu avait suivi les mesures, n’avait pas bu d’alcool, avait vu ses enfants et son épouse en sa présence et qu’ils cherchaient tous deux à trouver des moyens de communication pour améliorer leur entente, notamment par une thérapie de couple ; elle saluait également le fait qu’il avait retrouvé du travail deux jours après sa sortie de prison. Il s’agissait ensuite d’un courriel de l’épouse du prévenu, du même jour, par lequel celle-ci déclarait qu’il devenait « vraiment urgent » que son mari réintègre le domicile conjugal, et « cela pour le bon équilibre des enfants qui réclament leur père régulièrement » ; elle indiquait en outre qu’ils suivaient tous deux une thérapie de couple depuis le mois d’octobre afin d’apprendre à mieux communiquer et « mieux gérer l’émotionnel », plus précisément qu’ils apprenaient « l’un et l’autre diverses techniques pour éviter les disputes qui dégénèrent » ; elle disait avoir elle aussi arrêté de boire de l’alcool et être convaincue à ce jour de « retrouver une vie conjugale saine et calme » avec son mari, et avoir confiance dans le fait qu’il n’y ait plus d’acte de violence entre eux. Compte tenu des éléments en possession du Tribunal des mesures de contrainte rappelés ci-dessus, c’est à raison que celui-ci s’est montré très circonspect sur les progrès faits par le recourant, notamment en l’absence de tout retour du DrL.________ sur le résultat de la thérapie familiale, d’une part, et du Centre de Prévention de l’Ale sur son suivi, d’autre part. C’est ainsi à raison que le premier juge a considéré qu’il était nécessaire de maintenir l’interdiction faite au recourant de s’approcher seul de son épouse à moins de 300 mètres, cette interdiction n’empêchant au demeurant pas le recourant de voir ses enfants et son épouse en présence d’un tiers, de sorte que les liens parentaux n’étaient pas rompus.</w:t>
      </w:r>
    </w:p>
    <w:p>
      <w:r>
        <w:rPr>
          <w:b/>
        </w:rPr>
        <w:t>E. 3.3.2</w:t>
      </w:r>
    </w:p>
    <w:p>
      <w:r>
        <w:t>A l’appui de son recours, le prévenu a produit deux attestations nouvelles, qui renseignent sur les résultats des mesures de substitution mises en œuvre jusqu’à présent. Selon l’attestation du Centre de Prévention de l’Ale du 29 janvier 2021, à la suite des cinq entretiens socio-éducatifs mentionnés ci-dessus, l’intéressé a participé à quatre séances du groupe thérapeutique « Intégrale » les 5, 12, 19 et 26 janvier 2021, et il « s’implique de façon régulière et active dans la démarche » (P. 57/1/2). Selon l’attestation établie le 3 février 2021 par le Dr L.________, psychiatre-psychothérapeute, qui suit les époux depuis le 2 octobre 2020 et qui les a reçus en couple à dix reprises depuis lors, la dernière fois le 3 février 2021, pour travailler avec eux sur « les mécanismes de déclenchement des anciens accès réciproques de colère et de violence » et élaborer « des stratégies concrètes d’attention et contrôle des frustrations », le « pronostic est bon quant à la disparition des paroles ou actes dévalorisants, voire violents » ; il en déduit que, de son point de vue, il « est envisageable, voire souhaitable, que les époux A.R.________ vivent à nouveau ensemble, dès que possible, au plus vite selon [s]on avis, à condition de poursuivre pendant une année la thérapie de couple et de continuer jusqu’à son terme le suivi auprès du Centre de prévention de la violence de l’Ale à Lausanne ». Ce praticien conclut en ces termes : « Le couple A.R.________ se trouve actuellement dans une situation conjugale d’engagement réciproque de cultiver ensemble le respect réciproque dans l’honnêteté et cela au long cours, car il y a vraiment de l’amour entre eux et le souhait de s’offrir à eux et à leurs enfants une famille unie ». Il peut être donné acte au recourant que les deux attestations produites à l’appui de son recours laissent entendre que les mesures de substitution mises en œuvre auraient porté leurs fruits, notamment s’agissant de l’identification, par le recourant, des mécanismes de la violence et des stratégies pour y pallier. Cependant, il faut relever que la consommation d’alcool révélée par les analyses faites régulièrement reste inquiétante. Certes, le recourant conteste que ces analyses révèlent une consommation d’alcool, et le Dr. [...] a indiqué qu’une contamination au moment du prélèvement ne pouvait pas être formellement écartée. Il n’en demeure pas moins qu’en l’état, il apparaît plutôt que le recourant n’est pas totalement abstinent et qu’il existe encore un risque qu’une alcoolisation favorise chez lui un passage à l’acte, les résultats des analyses sanguines démontrant que l’un des facteurs propre à déclencher les épisodes de violence n’est pas traité. Cela implique également que l’attestation établie le 3 février 2021 par le Dr L.________ – qui juge superflu le contrôle de la consommation d’alcool du recourant au motif que celui-ci serait abstinent – repose sur des prémisses qui ne sont pas exactes, ce qui permet de mettre en doute ses conclusions entièrement positives. Enfin, comme le relèvent le Ministère public et le Tribunal des mesures de contrainte, le programme entrepris au Centre de Prévention de l’Ale n’est pas terminé et l’attestation de cette institution ne dit rien au sujet des progrès réalisés, mais se détermine seulement sur l’implication de l’intéressé. Dans ces conditions, il y a lieu de conclure qu’il existe toujours un risque sérieux de réitération. Au vu de ce qui précède, il serait tentant d’arriver à la conclusion que la séparation des époux ne favoriserait pas mieux la diminution de ce risque qu’une reprise de la vie conjugale avec une période de probation allant jusqu’aux débats, le moindre écart ou la moindre infraction aux mesures de substitution – notamment de nouveaux taux élevés de phosphatidyléthanol – risquant non seulement de mettre fin auxdites mesures de substitution, mais également d’avoir une incidence au niveau de la fixation de la peine et de l’éventuel octroi d’un sursis. Toutefois, au vu de la dangerosité du recourant, notamment lorsqu’il est sous l’effet de l’alcool, de ses antécédents, de l’aggravation des faits et des biens juridiques en cause – soit la vie et l’intégrité corporelle –, ainsi que des rapports médicaux qui attestent qu’il n’est pas abstinent à l’alcool, il est plus prudent d’exiger, avant tout allègement, que l’intéressé soit totalement abstinent, d’une part, et qu’il établisse que le suivi au Centre de Prévention de l’Ale a porté ses fruits du point de vue du risque de récidive, d’autre part, ces deux conditions étant cumulatives.</w:t>
      </w:r>
    </w:p>
    <w:p>
      <w:r>
        <w:rPr>
          <w:b/>
        </w:rPr>
        <w:t>E. 4</w:t>
      </w:r>
    </w:p>
    <w:p>
      <w:r>
        <w:t>Il résulte de ce qui précède que le recours doit être rejeté et l’ordonnance entreprise confirmée. Au vu du mémoire de recours produit et des déterminations déposées, l’indemnité allouée au défenseur d’office de A.R.________ sera fixée à 540 fr., correspondant à une activité nécessaire d’avocat de 3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593 fr. 20 au total, montant arrondi à 594 francs. Vu le sort du recours, les frais de la procédure, constitués en l’espèce de l’émolument d'arrêt, par 1’980 fr. (art. 20 al. 1 TFIP), et des frais imputables à la défense d’office de A.R.________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28 janvier 2021 est confirmée. III. L’indemnité allouée au défenseur d’office de A.R.________ est fixée à 594 fr. (cinq cent nonante-quatre francs). IV. Les frais d’arrêt, par 1’980 fr. (mille neuf cent huitante francs), ainsi que l’indemnité due au défenseur d’office du recourant, par 594 fr. (cinq cent nonante-quatre francs), sont mis à la charge de A.R.________. V. Le remboursement à l’Etat de l’indemnité allouée au chiffre III ci-dessus ne sera exigible que pour autant que la situation financière de A.R.________ le permette. VI. L’arrêt est exécutoire. Le président :               La greffière : Du Le présent arrêt, dont la rédaction a été approuvée à huis clos, est notifié, par l'envoi d'une copie complète, à : - Me Christian Giauque, avocat (pour A.R.________), - Ministère public central, et communiqué à : ‑ M. le Procureur de l’arrondissement de l’Est vaudois, - Mme la Présidente du Tribunal de police de l’arrondissement de l’Est vaudois, - Mme B.R.________, - Centre de Prévention de l’Ale, - Dr L.________,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