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169 vom 17. Februar 2021</w:t>
      </w:r>
    </w:p>
    <w:p>
      <w:r>
        <w:t>VD Tribunal cantonal, 2021-02-17, FR</w:t>
      </w:r>
    </w:p>
    <w:p>
      <w:r>
        <w:rPr>
          <w:b/>
        </w:rPr>
        <w:t xml:space="preserve">Quelle: </w:t>
      </w:r>
      <w:r>
        <w:t>https://mcp.opencaselaw.ch/entscheid/vd_findinfo_D_cision___2021___169</w:t>
      </w:r>
    </w:p>
    <w:p>
      <w:r>
        <w:t>FR: VD_FINDINFO Décision / 2021 / 169 du 17 février 2021</w:t>
      </w:r>
    </w:p>
    <w:p>
      <w:r>
        <w:t>IT: VD_FINDINFO Décision / 2021 / 169 del 17 febbraio 2021</w:t>
      </w:r>
    </w:p>
    <w:p>
      <w:pPr>
        <w:pStyle w:val="Heading2"/>
      </w:pPr>
      <w:r>
        <w:t>Regeste</w:t>
      </w:r>
    </w:p>
    <w:p>
      <w:r>
        <w:t>MOTIVATION DE LA DEMANDE, DÉCISION D'IRRECEVABILITÉ | 385 al. 1 CPP (CH)</w:t>
      </w:r>
    </w:p>
    <w:p>
      <w:pPr>
        <w:pStyle w:val="Heading2"/>
      </w:pPr>
      <w:r>
        <w:t>Erwägungen</w:t>
      </w:r>
    </w:p>
    <w:p>
      <w:r>
        <w:rPr>
          <w:b/>
        </w:rPr>
        <w:t>E. 1.1</w:t>
      </w:r>
    </w:p>
    <w:p>
      <w:r>
        <w:t>Dès lors qu’il vaut refus de donner suite à une plainte pénale, l’acte du 7 janvier 2021 du Procureur général a la nature d’une ordonnance de non-entrée en matière même s’il n’est pas désigné comme tel.</w:t>
      </w:r>
    </w:p>
    <w:p>
      <w:r>
        <w:rPr>
          <w:b/>
        </w:rPr>
        <w:t>E. 1.2</w:t>
      </w:r>
    </w:p>
    <w:p>
      <w:r>
        <w:t>Les parties peuvent attaquer une ordonnance de non-entrée en matière rendue par le Ministère public en application de l’art. 310 CPP dans les dix jours devant l’autorité de recours (art. 310 al. 2, 322 al.</w:t>
      </w:r>
    </w:p>
    <w:p>
      <w:r>
        <w:rPr>
          <w:b/>
        </w:rPr>
        <w:t>E. 2</w:t>
      </w:r>
    </w:p>
    <w:p>
      <w:r>
        <w:t>CPP ne devant pas être appliqué afin de détourner la portée de l’art. 89 al. 1 CPP, qui interdit la prolongation des délais fixés par la loi et n’autorise pas la partie à compléter un acte dépourvu de motivation (TF 6B_510/2020 du 15 septembre 2020, précité, consid. 2.2 et les réf. citées; TF 6B_510/2018 du 31 juillet 2018 consid. 1; TF 1B_232/2017 du 19 juillet 2017 consid. 2.4.3; CREP 22 juin 2020/487; cf. aussi CREP du 4 août 2020/576).</w:t>
      </w:r>
    </w:p>
    <w:p>
      <w:r>
        <w:rPr>
          <w:b/>
        </w:rPr>
        <w:t>E. 2.1.1</w:t>
      </w:r>
    </w:p>
    <w:p>
      <w:r>
        <w:t>Cela étant, la recevabilité du recours suppose que l’acte de recours soit motivé (art. 396 al. 1 CPP, précité).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Pitteloud, Code de procédure pénale suisse, Commentaire à l’usage des praticiens, Zurich/St-Gall 2012, n. 1126; Lieber, in : Donatsch/Hansjakob/Lieber [éd.], Kommentar zur Schweizerischen Strafprozessordnung, 2 e éd., Zurich/Bâle/Genève 2014, n. 2 ad art. 385 CPP). Ainsi, le recourant doit indiquer dans quelle mesure et sous quel angle il entend critiquer l’établissement des faits ou l’application du droit (Calame, in : Jeanneret/Kuhn/Perrier Depeursinge [éd.], Code de procédure pénale suisse, Commentaire romand, 2 e éd., Bâle 2019, n. 20 ad art. 385 CPP).</w:t>
      </w:r>
    </w:p>
    <w:p>
      <w:r>
        <w:rPr>
          <w:b/>
        </w:rPr>
        <w:t>E. 2.1.2</w:t>
      </w:r>
    </w:p>
    <w:p>
      <w:r>
        <w:t>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w:t>
      </w:r>
    </w:p>
    <w:p>
      <w:r>
        <w:rPr>
          <w:b/>
        </w:rPr>
        <w:t>E. 2.2</w:t>
      </w:r>
    </w:p>
    <w:p>
      <w:r>
        <w:t>Dans le cas présent, les mémoires produits par le recourant les 14 et 18 janvier 2021 ne comportent aucun moyen, de fait ou de droit, qui serait dirigé contre le dispositif de l’acte du 7 janvier 2021 valant ordonnance de non-entrée en matière. En effet, le recourant formule des griefs d’ordre général quant au fonctionnement des institutions vaudoises, tout en faisant valoir que c’est à tort que sa plainte a été écartée, soit frappée de non-entrée en matière. Ce faisant, il n’expose pas en quoi l’acte du 7 janvier 2021 serait infondé, mais se contente d’affirmer qu’il l’est. Par ses mémoires, le recourant ne s’en prend ainsi pas à la motivation de l’ordonnance attaquée. Les actes de recours ne s’attachent dès lors pas à démontrer que la décision attaquée devrait être modifiée, respectivement annulée. Partant, le recours ne satisfait pas aux exigences de l’art. 385 al. 1, spécialement let. b, CPP. Le défaut de motivation entachant les actes introductifs d’instance ne saurait justifier qu'un délai supplémentaire soit imparti au recourant pour compléter ses écritures en application de l'art. 385 al. 2 CPP (cf. les arrêts précités au consid. 2.1.2). La Cour ajoutera que le recourant ne saurait indéfiniment surcharger la chaîne pénale par des écrits récurrents, difficilement compréhensibles et non motivés. Il s’expose donc à ce qu’il ne soit plus entré en matière sur de tels procédés.</w:t>
      </w:r>
    </w:p>
    <w:p>
      <w:r>
        <w:rPr>
          <w:b/>
        </w:rPr>
        <w:t>E. 3</w:t>
      </w:r>
    </w:p>
    <w:p>
      <w:r>
        <w:t>Il résulte de ce qui précède que le recours doit être déclaré irrecevable sans échange d’écritures (art. 390 al. 2 CPP). 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w:t>
      </w:r>
    </w:p>
    <w:p>
      <w:r>
        <w:rPr>
          <w:b/>
        </w:rPr>
        <w:t>E. 4</w:t>
      </w:r>
    </w:p>
    <w:p>
      <w:r>
        <w:t>Le recourant sollicite enfin l’assistance judiciaire gratuite pour la présente procédure de recours.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(Constitution fédérale de la Confédération suisse du 18 avril 1999; RS 101), à savoir l'indigence, les chances de succès et le besoin d'être assisté (TF 1B_522/2020 du 11 janvier 2021 consid. 5.1; TF 1B_23/2020 du 17 mars 2020 consid. 2.1; TF 1B_151/2016 du 1 er juin 2016 consid. 2.3). Dans le cas présent, il suffit de constater que l’action civile (pour autant même que ses conditions soient réunies [cf. arrêts cités ci-dessous]) est manifestement vouée à l’échec, dès lors que l’action pénale l’est faute d’être un tant soit peu étayée. Qui plus est, dans la mesure où les plaintes pénales visent des employés soumis à loi sur le personnel de l'Etat de Vaud (LPers-VD; BLV 172.31), l’assistance judiciaire est en principe exclue (JdT 2016 III 98). En effet, le Canton de Vaud ayant fait usage de la faculté réservée à l'art. 61 al. 1 CO (Code des obligations; RS 220), la personne se disant lésée par un acte commis par un agent de l'Etat ne dispose que d'une prétention de droit public à faire valoir non pas contre l'auteur présumé du dommage, mais contre l'Etat, ce qui a pour effet d’exclure l’action civile (ATF 146 IV 76 consid. 3.1; ATF 128 IV 188 consid. 2.2). La demande d’assistance judiciaire doit donc être rejetée. Par ces motifs, la Chambre des recours pénale prononce : I. Le recours est irrecevable. II. La demande d’assistance judiciaire est rejetée. III. Les frais d’arrêt, par 770 fr. (sept cent septante francs), sont mis à la charge de R.________. IV. L’arrêt est exécutoire. Le président :               Le greffier : Du Le présent arrêt, dont la rédaction a été approuvée à huis clos, est notifié, par l'envoi d'une copie complète, à : - M. R.________, - M. le Procureur général du Canton de Vaud,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