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159 vom 23. Februar 2021</w:t>
      </w:r>
    </w:p>
    <w:p>
      <w:r>
        <w:t>VD Tribunal cantonal, 2021-02-23, FR</w:t>
      </w:r>
    </w:p>
    <w:p>
      <w:r>
        <w:rPr>
          <w:b/>
        </w:rPr>
        <w:t xml:space="preserve">Quelle: </w:t>
      </w:r>
      <w:r>
        <w:t>https://mcp.opencaselaw.ch/entscheid/vd_findinfo_D_cision___2021___159</w:t>
      </w:r>
    </w:p>
    <w:p>
      <w:r>
        <w:t>FR: VD_FINDINFO Décision / 2021 / 159 du 23 février 2021</w:t>
      </w:r>
    </w:p>
    <w:p>
      <w:r>
        <w:t>IT: VD_FINDINFO Décision / 2021 / 159 del 23 febbraio 2021</w:t>
      </w:r>
    </w:p>
    <w:p>
      <w:pPr>
        <w:pStyle w:val="Heading2"/>
      </w:pPr>
      <w:r>
        <w:t>Regeste</w:t>
      </w:r>
    </w:p>
    <w:p>
      <w:r>
        <w:t>DÉTENTION PROVISOIRE, RISQUE DE COLLUSION, RISQUE DE RÉCIDIVE, SOUPÇON, MESURE DE SUBSTITUTION À LA DÉTENTION | 221 al. 1 let. b CPP (CH), 221 al. 1 let. c CPP (CH), 237 CPP (CH)</w:t>
      </w:r>
    </w:p>
    <w:p>
      <w:pPr>
        <w:pStyle w:val="Heading2"/>
      </w:pPr>
      <w:r>
        <w:t>Erwägungen</w:t>
      </w:r>
    </w:p>
    <w:p>
      <w:r>
        <w:rPr>
          <w:b/>
        </w:rPr>
        <w:t>E. 1</w:t>
      </w:r>
    </w:p>
    <w:p>
      <w:r>
        <w:t>I nterjeté en temps utile (art. 396 al. 1 CPP [ Code de procédure pénale suisse du 5 octobre 2007 ; RS 312.0 ]) contre une décision du Tribunal des mesures de contrainte dans un cas prévu par la loi (art. 393 al. 1 let. c CPP) par un détenu qui a qualité pour recourir (art. 222 et 382 al. 1 CPP) et selon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provisoire et la détention pour des motifs de sûreté ne doivent pas durer plus longtemps que la peine privative de liberté prévisible (art. 212 al. 3 CPP).</w:t>
      </w:r>
    </w:p>
    <w:p>
      <w:r>
        <w:rPr>
          <w:b/>
        </w:rPr>
        <w:t>E. 3.1</w:t>
      </w:r>
    </w:p>
    <w:p>
      <w:r>
        <w:t>et les réf. cit.).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TF 1B_3/2019 du 17 janvier 2019 consid. 3.1).</w:t>
      </w:r>
    </w:p>
    <w:p>
      <w:r>
        <w:rPr>
          <w:b/>
        </w:rPr>
        <w:t>E. 3.2</w:t>
      </w:r>
    </w:p>
    <w:p>
      <w:r>
        <w:t>La détention provisoire suppose que le prévenu est fortement soupçonné d'avoir commis un crime ou un délit.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3.1 et 3.2 ; TF 1B_413/2019 du 11 septembre 2019 consid. 2.1).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1B_184/2019 du 9 mai 2019 consid. 5.1).</w:t>
      </w:r>
    </w:p>
    <w:p>
      <w:r>
        <w:rPr>
          <w:b/>
        </w:rPr>
        <w:t>E. 3.3</w:t>
      </w:r>
    </w:p>
    <w:p>
      <w:r>
        <w:t>En l’espèce, le tribunal a tout d’abord retenu, à juste titre, que les éléments apportés par J.________ étaient corroborés par les dégâts occasionnés à la porte d’entrée de l’immeuble de la prénommée, dont K.________ avait admis être l’auteur, tout en prétendant que le verre de la porte, qui était « tout fin », s’était cassé lorsqu’il avait mis son pied au moment où la porte se refermait (PV aud. 2 du 11 février 2021). Ensuite, le recourant, qui dans un premier temps a refusé d’ouvrir la porte de son logement et de s’expliquer lorsque la police s’est rendue chez lui à la suite du dépôt de plainte de J.________, a reconnu certains faits tout en les minimisant, affirmant notamment que lors de leur dispute en novembre 2020, la plaignante et lui étaient tombés au sol alors qu’il la ceinturait avec les bras à hauteur des pectoraux, prétendument pour la protéger d’elle-même, qu’il l’avait poussée au bout de la pièce contre une baie vitrée pour essayer de la calmer et qu’il lui avait « mis une voire deux claques, main ouverte, avec les phalanges, sans pratiquement d’élan ». Il a encore ajouté que le 28 décembre 2020, il avait « un peu forcé pour rentrer, elle ne voulait pas », mais qu’il était « quand même rentré » et qu’à une occasion, il avait pénétré dans l’appartement de l’intimée par le balcon car celle-ci ne voulait pas le faire rentrer. Concernant l’épisode de janvier 2021, il a déclaré : « je lui ai effectivement donné un, peut-être deux coups de pied, mais je dirais plutôt un. […] Quant à l’étranglement, je ne sais pas, l’action va vite, cela s’est aussi passé lorsque j’ai amené J.________ vers la baie vitrée ». Il a également admis que lors de cette dispute, sa fille, qui était présente, lui avait dit d’arrêter, qu’il lui arrivait que la plaignante le mette « hors de [lui] » et qu’il avait certes usé de violence envers l’intimée, mais uniquement ensuite des crises d’hystérie de cette dernière. Enfin, il a refusé de répondre aux questions le mettant en cause pour des « faits de plus de trois mois », tout en affirmant ne pas se souvenir de certains d’entre eux (PV aud. 2 du 11 février 2021), et a prétendu – de manière contradictoire – que J.________ avait déposé plainte car il lui avait « signifié [leur] rupture » , avant d’indiquer que c’était elle qui, quelques jours avant, avait mis fin à leur relation (PV aud. du 12 février 2021, lignes 93 à 96). Le fait que la plaignante a poursuivi sa relation avec le prévenu n’a rien d’anormal lorsque les agressions interviennent dans le cadre d’une relation amoureuse. Cela l’est d’autant moins si l’on considère le contexte dans lequel cette relation – décrite comme « passionnelle » (PV aud. 2 du 11 février 2021) – évoluait, soit l’emprise du prévenu sur la plaignante, son harcèlement, sa violence verbale et physique et le fait qu’il l’aurait menacée de mort si elle déposait plainte (PV aud. de J.________ du 11 février 2021). En outre, le casier judiciaire du recourant comporte des antécédents de menaces et d’injure, pour des faits ayant notamment eu lieu en mars 2020, au cours desquels il s’en est pris à la mère d’une camarade d’école de sa fille. On constatera à cet égard qu’interrogé sur son passé judiciaire, l’intéressé a répondu à la police « vous avez tout, je n’ai pas besoin de me prononcer là-dessus » (PV aud. 2 du 11 février 2021). Enfin, on ne saurait suivre l’argument selon lequel J.________ aurait déposé plainte parce qu’elle n’aurait pas supporté que K.________ le quitte (recours, p. 6 in initio ), puisque, comme relevé ci-avant, c’est elle qui, selon le recourant lui-même, a mis fin à leur relation (PV aud. du 12 février 2021, lignes 94 et 95). Au vu des éléments qui précèdent et à ce stade de l’enquête, qui débute à peine, il y a lieu de considérer qu’il existe des soupçons suffisants au sens de l’art. 221 al. 1 CPP, le prévenu persistant à rejeter la faute sur l’intimée et à minimiser la gravité de son comportement, tout en admettant certains faits qui lui sont reprochés et en refusant de fournir des explications sur d’autres.</w:t>
      </w:r>
    </w:p>
    <w:p>
      <w:r>
        <w:rPr>
          <w:b/>
        </w:rPr>
        <w:t>E. 4.1</w:t>
      </w:r>
    </w:p>
    <w:p>
      <w:r>
        <w:t>Le recourant conteste les risques de collusion et de réitération.</w:t>
      </w:r>
    </w:p>
    <w:p>
      <w:r>
        <w:rPr>
          <w:b/>
        </w:rPr>
        <w:t>E. 4.2.1</w:t>
      </w:r>
    </w:p>
    <w:p>
      <w:r>
        <w:t>Le motif de détention pour risque de collusion est réalisé lorsqu'il y a sérieusement à craindre que le prévenu compromette la recherche de la vérité en exerçant une influence sur des personnes ou en altérant des moyens de preuve (art. 221 al. 1 let. b CPP). L'influence sur les coprévenus, les témoins, les victimes ou les experts peut s'exercer au moyen de la promesse d'avantages (subornation de témoins) ou au moyen de mesures d'intimidation (menace sur des témoins) ; entre coprévenus, il s'agit le plus souvent de manœuvres secrètes pour adapter entre elles les déclarations des différents participants à l'infraction, dans un sens qui leur est favorable. L'altération des moyens de preuve consiste à détruire, à modifier ou à dissimuler des documents ou objets défavorables au prévenu (Jeanneret et alii [éd.], Commentaire romand, Code de procédure pénale suisse, 2 e éd., Bâle 2019, n. 13 ad art. 221 CPP ; ATF 137 IV 122 consid. 6.2 et 6.4).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preuves susceptibles d'être menacés, la gravité des infractions en cause et le stade de la procédure ( ATF 137 IV 122 consid. 4.2 ; ATF 132 I 21 consid. 3.2 et réf. cit.). Plus l'instruction se trouve à un stade avancé et les faits sont établis avec précision, plus les exigences relatives à la preuve de l'existence d’un risque de collusion sont élevées ( ATF 137 IV 122 consid. 4.2 ; ATF 132 I 21 consid. 3.2.2 ; TF 1B_500/2019 du 25 octobre 2019 consid. 4.1).</w:t>
      </w:r>
    </w:p>
    <w:p>
      <w:r>
        <w:rPr>
          <w:b/>
        </w:rPr>
        <w:t>E. 4.2.2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 TF 1B_545/2020 du 18 novembre 2020 consid. 3.1). Pour ce motif, le risque de récidive peut également se fonder sur les infractions faisant l'objet de la procédure pénale en cours, si le prévenu est fortement soupçonné – avec une probabilité confinant à la certitude – de les avoir commises (ATF 143 IV 9 consid. 2.3.1 ; TF 1B_545/2020 précité consid. 3.1 ;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2.7; TF 1B_3/2019 du 17 janvier 2019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3.2; TF 1B_3/2019 du 17 janvier 2019 consid.</w:t>
      </w:r>
    </w:p>
    <w:p>
      <w:r>
        <w:rPr>
          <w:b/>
        </w:rPr>
        <w:t>E. 4.3</w:t>
      </w:r>
    </w:p>
    <w:p>
      <w:r>
        <w:t>En l’espèce, des risques concrets de collusion et de réitération sont réalisés. Sous l’angle du risque de collusion, des mesures d’instruction devront être mises en œuvre pour déterminer précisément les agissements de K.________. La relation entre les parties s’est avérée cahotique, avec de multiples épisodes de violence succédant aux réconciliations. Le recourant minimise les faits et pourrait, au vu du contexte très émotionnel, tenter d’influencer victime et témoins en les contactant avant le Ministère public. Ses promesses et engagements ne changent rien à cette appréciation, ceux-ci étant peu convaincants. En effet, d’une part, l’intéressé n’a cessé de harceler l’intimée malgré le refus – clairement exprimé par celle-ci – de lui parler et l’annonce du dépôt d’une plainte pénale, le recourant ayant lui-même admis « lorsqu’elle me met hors de moi, je l’appelle jusqu’à ce qu’elle réponde » (PV aud 2 du 11 février 2021) et s’étant également rendu chez la mère de la victime afin de contacter cette dernière. D’autre part, il a refusé d’ouvrir la porte de son logement et de s’exprimer lorsque les policiers sont allés sonner chez lui, et quand l’un d’eux a intercepté son appel au domicile de la mère de l’intimée et s’est présenté comme étant de la gendarmerie, il aurait répondu « qu’est-ce que j’en ai à foutre » (PV aud. de J.________ du 11 février 2021, lignes 144 à 146), ce qui démontre un certain mépris pour l’ordre juridique. S’agissant du risque de réitération, K.________ relève que les inscriptions au casier judiciaire sont anciennes. Cela est certes le cas pour sa lourde condamnation de 2013 ; toutefois, le prénommé a, depuis lors, été condamné, en novembre 2020, à 45 jours-amende pour injure et menaces proférées à l’égard de la mère d’une camarade d’école de sa fille dans le cadre d’une dispute entre enfants. Cette récente condamnation n’a eu aucun effet dissuasif sur le prévenu. Par ailleurs, les actes qui lui sont reprochés dans le cas d’espèce sont graves, puisqu’il est soupçonné d’avoir mis en danger la vie de J.________. Ces faits, qui sont partiellement admis, sont révélateurs de l’attitude de l’intéressé et de sa propension à la violence lorsqu’il est contrarié, d’autant plus dans le contexte actuel de sa relation de couple avec l’intimée. Ainsi, au vu des antécédents du prévenu et de l’absence de prise de conscience, celui-ci persistant à minimiser la gravité de ses gestes, et compte tenu de son comportement obsessionnel à l’égard de la plaignante et de la récurrence des épisodes de violence survenus durant leur relation, il existe un risque concret qu’il s’en prenne à nouveau à l’intimée par la violence ou la menace, dont on ne saurait sous-estimer les effets sur la victime, qui a déjà exprimé des idées suicidaires en raison du harcèlement subi. Les conditions permettant de retenir un risque de réitération sont ainsi réalisées.</w:t>
      </w:r>
    </w:p>
    <w:p>
      <w:r>
        <w:rPr>
          <w:b/>
        </w:rPr>
        <w:t>E. 5.1</w:t>
      </w:r>
    </w:p>
    <w:p>
      <w:r>
        <w:t>Invoquant une violation du principe de la proportionnalité, le recourant demande la mise en œuvre, en lieu et place de sa détention, de mesures de substitution prenant la forme d’une interdiction de s’approcher de la victime et/ou de prendre contact avec elle de quelque manière que ce soit, indiquant qu’il serait même prêt à déménager « pour mettre de la distance entre eux ».</w:t>
      </w:r>
    </w:p>
    <w:p>
      <w:r>
        <w:rPr>
          <w:b/>
        </w:rPr>
        <w:t>E. 5.2</w:t>
      </w:r>
    </w:p>
    <w:p>
      <w:r>
        <w:t>Concrétisant le principe de la proportionnalité consacré à l'art. 197 al. 1 let. c. CPP, l'art. 237 al. 1 CPP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 et al. [éd.], Commentaire romand, Code de procédure pénale suisse, 2 e éd., Bâle 2019, n. 2 ad art. 237 CPP).</w:t>
      </w:r>
    </w:p>
    <w:p>
      <w:r>
        <w:rPr>
          <w:b/>
        </w:rPr>
        <w:t>E. 5.3</w:t>
      </w:r>
    </w:p>
    <w:p>
      <w:r>
        <w:t>En l’espèce, contrairement à ce que prétend le recourant, aucune des mesures proposées, même ordonnées cumulativement, n’est à même de parer aux risques de collusion et de réitération retenus. En particulier, la mesure de substitution tendant à ce que tout contact entre le recourant et la victime soit interdit n’est pas suffisante, le respect de cette condition dépendant du seul engagement du recourant de s’y soumettre, et le prévenu ne manifeste en l’état aucune prise de conscience. Enfin, du point de vue temporel, compte tenu de la gravité des infractions que le recourant, détenu depuis le 11 février 2021, est soupçonné d’avoir commises et de ses antécédents notamment, la peine prévisible est manifestement supérieure à la durée de la détention provisoire qu’il aura subie au 11 mars 2021. Le principe de la proportionnalité demeure ainsi respecté également sous cet angle.</w:t>
      </w:r>
    </w:p>
    <w:p>
      <w:r>
        <w:rPr>
          <w:b/>
        </w:rPr>
        <w:t>E. 6</w:t>
      </w:r>
    </w:p>
    <w:p>
      <w:r>
        <w:t>Il s’ensuit que le recours, manifestement mal fondé, doit être rejeté et que l’ordonnance querellée doit être confirmée. Les frais de la procédure de recours, constitués de l’émolument d’arrêt, par 1'540 fr. (art. 20 al. 1 TFIP [tarif des frais de procédure et indemnités en matière pénale du 28 septembre 2010 ; BLV 312.03.1]), ainsi que des frais imputables à la défense d’office (art. 422 al. 1 et 2 let. a CPP), fixés à 594 fr. (montant arrondi) – qui comprennent des honoraires par 540 fr. (3 x 180 fr./h), des débours forfaitaires par 10 fr. 80 (art. 26b TFIP cum art. 3 bis RAJ [règlement sur l’assistance judiciaire en matière civile du 7 décembre 2010 ; BLV 211.02.3]) et la TVA (7,7%) sur le tout, par 42 fr. 40 –,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13 février 2021 est confirmée. III. L’indemnité allouée au défenseur d’office de K.________ est fixée à 594 fr. (cinq cent nonante-quatre francs). IV. Les frais d’arrêt, par 1'540 fr. (mille cinq cent quarante francs), ainsi que l’indemnité due au défenseur d’office de K.________, par 594 fr. (cinq cent nonante-quatre francs), sont mis à la charge de ce dernier. V. Le remboursement à l'Etat de l'indemnité allouée au chiffre III ci-dessus ne sera exigible de K.________ que pour autant que sa situation financière le permette. VI. L’arrêt est exécutoire. La vice-présidente : Le greffier : Du Le présent arrêt, dont la rédaction a été approuvée à huis clos, est notifié, par l'envoi d'une copie complète, à : - Me Benoît Morzier, avocat (pour K.________), - Ministère public central, et communiqué à : ‑ Me Céline Jarry-Lacombe, avocate (pour J.________), ‑ Mme la Présidente du Tribunal des mesures de contrainte,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