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154 vom 11. Februar 2021</w:t>
      </w:r>
    </w:p>
    <w:p>
      <w:r>
        <w:t>VD Tribunal cantonal, 2021-02-11, FR</w:t>
      </w:r>
    </w:p>
    <w:p>
      <w:r>
        <w:rPr>
          <w:b/>
        </w:rPr>
        <w:t xml:space="preserve">Quelle: </w:t>
      </w:r>
      <w:r>
        <w:t>https://mcp.opencaselaw.ch/entscheid/vd_findinfo_D_cision___2021___154</w:t>
      </w:r>
    </w:p>
    <w:p>
      <w:r>
        <w:t>FR: VD_FINDINFO Décision / 2021 / 154 du 11 février 2021</w:t>
      </w:r>
    </w:p>
    <w:p>
      <w:r>
        <w:t>IT: VD_FINDINFO Décision / 2021 / 154 del 11 febbraio 2021</w:t>
      </w:r>
    </w:p>
    <w:p>
      <w:pPr>
        <w:pStyle w:val="Heading2"/>
      </w:pPr>
      <w:r>
        <w:t>Regeste</w:t>
      </w:r>
    </w:p>
    <w:p>
      <w:r>
        <w:t>NON-LIEU, VOL{DROIT PÉNAL}, SUSPENSION DE LA PROCÉDURE | 310 CPP (CH), 314 al. 1 let. a CPP (CH)</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délai de dix jours – qui ne peut être prolongé (art. 89 al. 1 CPP) – commence à courir le jour qui suit la notification de l’ordonnance entreprise (art. 90 al. 1 et 384 let. b CPP ; Calame, in : Jeanneret/Kuhn/Perrier Depeursinge [édit.], Commentaire romand, Code de procédure pénale suisse, 2 e éd., Bâle 2019 [cité ci-après : CR-CPP], n. 3 ad art. 384 CPP). Selon l’art. 85 al. 2 CPP, les autorités pénales notifient leurs prononcés par lettre signature ou par tout autre mode de communication impliquant un accusé de réception, notamment par l'entremise de la police. La date de réception étant déterminante pour faire courir le délai d’opposition ou de recours, la règle de l'art. 85 al. 2 CPP se justifie par le fait qu'il faut acquérir la certitude que le prévenu a bien reçu la décision et qu'il a eu la possibilité de faire opposition ou recours. En ce sens, elle a une fonction de preuve importante (ATF 142 IV 125 consid. 4.1 et les réf. citées ; TF 6B_30/2020 du 6 avril 2020 consid. 1.1.1). La preuve de la notification incombe à l’autorité pénale et lorsqu’il existe un doute au sujet de la date de celle-ci, il y a lieu de se fonder sur les déclarations du destinataire de la communication (ATF 144 IV 57 consid. 2.3, JdT 2018 IV 195 ; ATF 142 IV 125 consid. 4.1 et réf. citées).</w:t>
      </w:r>
    </w:p>
    <w:p>
      <w:r>
        <w:rPr>
          <w:b/>
        </w:rPr>
        <w:t>E. 1.2</w:t>
      </w:r>
    </w:p>
    <w:p>
      <w:r>
        <w:t>Dans le cas présent, le Ministère public a envoyé l’ordonnance du 6 novembre 2020 pour notification au recourant, qui habite en France, par courrier A, de sorte que le dossier ne contient aucun accusé de réception relatif à cet envoi. L’acte déposé par T.________ le 26 octobre 2020 l’a été avant que l’ordonnance attaquée soit rendue. Il n’est dès lors pas possible de considérer cet acte comme un recours, puisqu’il ne peut pas être dirigé contre une décision dont la partie n’avait pas connaissance. S’agissant en revanche de l’acte du 9 janvier 2021, qui faisait suite à l’avis du 3 décembre 2020 du Ministère public, T.________ y déclare qu’il souhaite que sa plainte soit examinée par les instances supérieures, ce qui doit être interprété comme une volonté de recourir. Rien ne permet de retenir que le recourant a eu connaissance de l’existence de l’ordonnance litigieuse plus de dix jours avant le 9 janvier 2021. Certes, le recourant admet qu’il a adressé son courrier du 9 janvier 2021 plus tard que le délai qui lui avait été imparti par l’avis du 3 décembre 2020 du Ministère public. Il ne dit toutefois rien s’agissant de la réception et de la prise de connaissance de l’ordonnance entreprise. Il s’ensuit que le recours de T.________, déposé le 9 janvier 2021, doit être considéré comme ayant été formé en temps utile. Interjeté par la partie plaignante qui a qualité pour recourir (art. 382 al. 1 CPP) et satisfaisant aux conditions de forme prescrites (art. 385 al. 1 CPP), le recours est donc recevable.</w:t>
      </w:r>
    </w:p>
    <w:p>
      <w:r>
        <w:rPr>
          <w:b/>
        </w:rPr>
        <w:t>E. 2.1</w:t>
      </w:r>
    </w:p>
    <w:p>
      <w:r>
        <w:t>Le recourant se plaint de ce que des investigations n’aient pas été entreprises par la police, alors que le gérant de la station-service lui avait fourni des indications contradictoires s’agissant de l’existence d’images de vidéosurveillance.</w:t>
      </w:r>
    </w:p>
    <w:p>
      <w:r>
        <w:rPr>
          <w:b/>
        </w:rPr>
        <w:t>E. 2.2.1</w:t>
      </w:r>
    </w:p>
    <w:p>
      <w:r>
        <w:t>Conformément à l'art. 310 al. 1 let. a CPP, le Ministère public rend immédiatement – c'est-à-dire sans qu'une instruction soit ouverte (cf. not. CREP 28 octobre 2020/806 consid. 3.2) – une ordonnance de non-entrée en matière lorsqu'il apparaît, à réception de la dénonciation (cf. art. 301 s. CPP) ou de la plainte (Grodecki/Cornu, in CR-CPP, n. 1 ad art. 310 CPP) ou après une procédure préliminaire limitée aux investigations de la police (art. 300 al. 1, 306 et 307 CPP), que les éléments constitutifs d'une infraction ou les conditions d'ouverture de l'action pénale ne sont manifestement pas réunis (TF 6B_196/2020 du 14 octobre 2020 consid. 3.1).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JdT 2015 IV 280 ; TF 6B_335/2020 du 7 septembre 2020 consid. 3.3.4 ; TF 6B_834/2019 du 11 décembre 2019 consid. 3.3.1). Dans le doute, lorsque les conditions d'une non-entrée en matière ne sont pas réalisées avec une certitude absolue, l'instruction doit être ouverte (TF 6B_834/2019, déjà cité, consid. 3.3.2 : TF 6B_553/2019 du 6 novembre 2019 consid. 3.1 ; cf. ATF 143 IV 241 consid. 2.2.1, JdT 2017 IV 357 ; ATF 138 IV 86 consid. 4.1, SJ 2012 I 304, JdT 2013 IV 211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Selon l'art. 314 al. 1 let. a CPP, le Ministère public peut suspendre l'instruction, notamment lorsque l'auteur ou son lieu de séjour est inconnu ou qu'il existe des empêchements momentanés de procéder. Cette disposition est potestative et les motifs de suspension ne sont pas exhaustifs. Le Ministère public dispose d'un certain pouvoir d'appréciation lui permettant de choisir la mesure la plus opportune entre une suspension de la procédure ou un refus d'entrer en matière (TF 1B_67/2012 du 29 mai 2012 consid. 3.1). Faute pour la procédure d'avoir été ouverte par le Ministère public, celle-ci ne peut être suspendue (TF 6B_211/2019 du 19 mars 2019 consid. 1.4 ; cf. TF 1B_734/2012 du 7 mars 2013 consid. 2.4).</w:t>
      </w:r>
    </w:p>
    <w:p>
      <w:r>
        <w:rPr>
          <w:b/>
        </w:rPr>
        <w:t>E. 2.3</w:t>
      </w:r>
    </w:p>
    <w:p>
      <w:r>
        <w:t>En l’espèce, le Ministère public ne pouvait pas, en l’état, conclure que les éléments constitutifs d’une infraction n’étaient pas réunis. Comme le relève à juste titre le recourant, les déclarations successives et contradictoires du gérant de la station-service paraissent suspectes. En outre, des actes d’enquête, tels que ceux proposés par le recourant dans sa plainte, soit l’audition des deux employées de la station-service qu’il a eues au téléphone, la visualisation des vidéos de surveillance, de même que l’audition du gérant de la station-service peuvent et doivent être mis en œuvre. Dans ces circonstances, une ordonnance de non-entrée en matière ne pouvait pas être rendue s’agissant du gérant, ni pour le surplus, la procédure être suspendue, puisqu’aucune instruction n’avait été ouverte.</w:t>
      </w:r>
    </w:p>
    <w:p>
      <w:r>
        <w:rPr>
          <w:b/>
        </w:rPr>
        <w:t>E. 3.1</w:t>
      </w:r>
    </w:p>
    <w:p>
      <w:r>
        <w:t>Au vu de ce qui précède, le recours doit être admis, l’ordonnance entreprise annulée et le dossier de la cause renvoyé au Ministère public de l’arrondissement de Lausanne pour qu’il ouvre une instruction et procède aux investigations nécessaires à l’élucidation des faits retranscrits dans la plainte du recourant.</w:t>
      </w:r>
    </w:p>
    <w:p>
      <w:r>
        <w:rPr>
          <w:b/>
        </w:rPr>
        <w:t>E. 3.2</w:t>
      </w:r>
    </w:p>
    <w:p>
      <w:r>
        <w:t>Les frais d’arrêt, par 770 fr. (art. 20 al. 1 TFIP [tarif des frais de procédure et indemnités en matière pénale du 28 septembre 2010 ; BLV 312.03.1]), seront laissés à la charge de l’Etat (art. 428 al. 4 CPP). Par ces motifs, la Chambre des recours pénale prononce : I. Le recours est admis. II. L’ordonnance du 6 novembre 2020 est annulée. III. Le dossier de la cause est renvoyé au Ministère public de l’arrondissement de Lausanne pour qu’il procède dans le sens des considérants. IV. Les frais d’arrêt, par 770 fr. (sept cent septante francs), sont laissés à la charge de l’Etat. V. L’arrêt est exécutoire. Le président :               La greffière : Du Le présent arrêt, dont la rédaction a été approuvée à huis clos, est notifié, par l'envoi d'une copie complète, à : - T.________,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