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1212 vom 7. Dezember 2021</w:t>
      </w:r>
    </w:p>
    <w:p>
      <w:r>
        <w:t>VD Tribunal cantonal, 2021-12-07, FR</w:t>
      </w:r>
    </w:p>
    <w:p>
      <w:r>
        <w:rPr>
          <w:b/>
        </w:rPr>
        <w:t xml:space="preserve">Quelle: </w:t>
      </w:r>
      <w:r>
        <w:t>https://mcp.opencaselaw.ch/entscheid/vd_findinfo_D_cision___2021___1212</w:t>
      </w:r>
    </w:p>
    <w:p>
      <w:r>
        <w:t>FR: VD_FINDINFO Décision / 2021 / 1212 du 7 décembre 2021</w:t>
      </w:r>
    </w:p>
    <w:p>
      <w:r>
        <w:t>IT: VD_FINDINFO Décision / 2021 / 1212 del 7 dicembre 2021</w:t>
      </w:r>
    </w:p>
    <w:p>
      <w:pPr>
        <w:pStyle w:val="Heading2"/>
      </w:pPr>
      <w:r>
        <w:t>Regeste</w:t>
      </w:r>
    </w:p>
    <w:p>
      <w:r>
        <w:t>DÉCISION D'IRRECEVABILITÉ, CONTRAINTE{DROIT PÉNAL}, TENTATIVE{DROIT PÉNAL} | 22 ad 181 CP, 310 CPP (CH)</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1.1</w:t>
      </w:r>
    </w:p>
    <w:p>
      <w:r>
        <w:t>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6B_138/2021 du 23 septembre 2021 consid. 3.1 ; TF 6B_191/2021 11 août 2021 consid. 7.2.2 ; TF 6B_70/2021 12 juillet 2021 consid. 3.2.2).</w:t>
      </w:r>
    </w:p>
    <w:p>
      <w:r>
        <w:rPr>
          <w:b/>
        </w:rPr>
        <w:t>E. 2</w:t>
      </w:r>
    </w:p>
    <w:p>
      <w:r>
        <w:t>Le recourant requiert la mise en œuvre de différentes mesures d'instruction, à savoir l’audition des parties, la production des dossiers du Président du Tribunal d'arrondissement de La Broye et du Nord vaudois dans le cadre du litige civil qui l'oppose à A.Z.________ et B.Z.________, la production de la comptabilité ainsi que la liste du personnel de l'entreprise P.________ et enfin l’audition de [...] en qualité de témoin.</w:t>
      </w:r>
    </w:p>
    <w:p>
      <w:r>
        <w:rPr>
          <w:b/>
        </w:rPr>
        <w:t>E. 2.1</w:t>
      </w:r>
    </w:p>
    <w:p>
      <w:r>
        <w:t>Selon l'art. 389 CPP, la procédure de recours se fonde sur les preuves administrées pendant la procédure préliminaire et la procédure de première instance (al. 1) ;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w:t>
      </w:r>
    </w:p>
    <w:p>
      <w:r>
        <w:rPr>
          <w:b/>
        </w:rPr>
        <w:t>E. 2.2</w:t>
      </w:r>
    </w:p>
    <w:p>
      <w:r>
        <w:t>En l’espèce, le recourant n'indique pas en quoi les différentes mesures d'instruction requises seraient nécessaires au traitement de son recours. On ne discerne pas ce que la production de la comptabilité ou la liste du personnel de l'entreprise des intimés pourrait amener comme preuve d'un éventuel comportement pénalement répréhensible en lien avec le recourant. Il en va de même des dossiers civils les divisant, étant précisé que le recourant aurait pu de lui-même produire des pièces en sa possession issues de cette procédure. Quant à l'audition des parties ou d'un témoin, on ne voit pas non plus, compte tenu des pièces produites par le recourant, qu'elles puissent établir un comportement délictueux dans le cadre des transactions judiciaires conclues en 2017. Compte tenu de ce qui précède, il n’y a pas lieu de donner suite aux différentes mesures d'instruction requises.</w:t>
      </w:r>
    </w:p>
    <w:p>
      <w:r>
        <w:rPr>
          <w:b/>
        </w:rPr>
        <w:t>E. 3</w:t>
      </w:r>
    </w:p>
    <w:p>
      <w:r>
        <w:t>Le recourant fait valoir que le Ministère public a violé son droit d'être entendu. Il se plaint de ne pas avoir pu prendre connaissance des auditions et plus généralement du dossier avant la reddition de l'ordonnance attaquée, de sorte qu'il n'a pas pu faire valoir ses arguments.</w:t>
      </w:r>
    </w:p>
    <w:p>
      <w:r>
        <w:rPr>
          <w:b/>
        </w:rPr>
        <w:t>E. 3.1.1</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w:t>
      </w:r>
    </w:p>
    <w:p>
      <w:r>
        <w:rPr>
          <w:b/>
        </w:rPr>
        <w:t>E. 3.1.2</w:t>
      </w:r>
    </w:p>
    <w:p>
      <w:r>
        <w:t>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66_290/2020 du 17 juillet 2020 consid. 2.2 ; TF 6B_810/2019 du 22 juillet 2019 consid. 2.1 ; TF 6B_239/2019 du 24 avril 2019 consid. 2.1 ; TF 6B_1096/2018 du 25 janvier 2019 consid. 2.2 ; TF 6B_49612018 du 6 septembre 2018 consid. 1.3).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w:t>
      </w:r>
    </w:p>
    <w:p>
      <w:r>
        <w:rPr>
          <w:b/>
        </w:rPr>
        <w:t>E. 3.2</w:t>
      </w:r>
    </w:p>
    <w:p>
      <w:r>
        <w:t>Compte tenu de ce qui précède, le fait que le Ministère public n’ait pas donné au recourant l'occasion de s'exprimer ou qu’il ne l'ait pas invité à consulter le dossier avant de rendre son ordonnance de non-entrée en matière ne viole pas son droit d'être entendu, celui-ci n’étant pas garanti à ce stade. Par ailleurs, le recourant a pu s'exprimer devant la Chambre de céans, qui dispose d'un plein pouvoir d'examen. Le grief, mal fondé, doit être rejeté.</w:t>
      </w:r>
    </w:p>
    <w:p>
      <w:r>
        <w:rPr>
          <w:b/>
        </w:rPr>
        <w:t>E. 4</w:t>
      </w:r>
    </w:p>
    <w:p>
      <w:r>
        <w:t>Le recourant soutient que des soupçons d'infraction sont réalisés et reproche au Ministère public d’avoir rendu l’ordonnance entreprise en violation de l’art. 310 CPP. Il invoque que les intimés ont agi de manière hostile et malveillante en laissant s'accumuler des arriérés à son endroit pour prétendre ensuite à l'existence d'un bail à ferme agricole et l'invoquer dans le cadre d'une requête de mesures provisionnelles tendant à le priver de l'accès à son domaine. Il fait en outre valoir qu'à l'audience du 8 août 2017, il pouvait craindre, dans le prolongement de la décision de mesures superprovisionnelles du 16 mars 2017 que les interdictions le privant d'accès à ses parcelles soient maintenues. Il affirme qu'il a ainsi été forcé à faire des sacrifices financiers.</w:t>
      </w:r>
    </w:p>
    <w:p>
      <w:r>
        <w:rPr>
          <w:b/>
        </w:rPr>
        <w:t>E. 4.1.1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 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w:t>
      </w:r>
    </w:p>
    <w:p>
      <w:r>
        <w:rPr>
          <w:b/>
        </w:rPr>
        <w:t>E. 4.1.2</w:t>
      </w:r>
    </w:p>
    <w:p>
      <w:r>
        <w:t>Aux termes de l’art. 181 CP, se rend coupable de contrainte et est punissable d’une peine privative de liberté de trois au plus ou d’une peine pécuniaire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 TF 6B_974/2018 du 20 décembre 2018 consid. 3.1),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332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La contrainte est illicite lorsque le moyen ou le but est contraire au droit ou encore lorsque le moyen est disproportionné pour atteindre le but visé, soit encore parce qu’un moyen conforme au droit utiliser pour atteindre un but légitime constitue, au vu des circonstances, un moyen de pression abusif ou contraire aux mœurs (ATF 141 IV 437 consid. 3.2.1 ; ATF 137 IV 326 consid. 3.3.1). Sur le plan subjectif, il faut que l’auteur ait agi intentionnellement, c’est-à-dire qu’il ait voulu contraindre la victime à adopter le comportement visé en étant conscient de l’illicéité de son comportement, le dol éventuel suffit (ATF 120 IV 17 consid. 2c).</w:t>
      </w:r>
    </w:p>
    <w:p>
      <w:r>
        <w:rPr>
          <w:b/>
        </w:rPr>
        <w:t>E. 4.1.3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Le seuil à partir duquel il y a tentative doit être proche de la réalisation proprement dite de l’infraction, à la fois dans le temps et dans l’espace (ATF 131 IV 100 consid. 8.2). En cas de viol, mutatis mutandis de contrainte sexuelle, le seuil de la tentative est dépassé lorsque l’auteur commence à créer une situation de contrainte (ATF 119 IV consid. 2). Il y a ainsi tentative lorsque l’auteur tente de baisser le pantalon de sa victime (TF 6S.239/2000 du 30 août 2000 consid. 2c).</w:t>
      </w:r>
    </w:p>
    <w:p>
      <w:r>
        <w:rPr>
          <w:b/>
        </w:rPr>
        <w:t>E. 4.2</w:t>
      </w:r>
    </w:p>
    <w:p>
      <w:r>
        <w:t>En l’espèce, la Chambre de céans relève, en premier lieu, que - contrairement à ce qu'affirme le recourant – c’est à juste titre que le Ministère public a retenu qu'il n'y avait aucune obligation pour un créancier de procéder régulièrement au recouvrement de ses créances. Le fait qu'une fois le délai de prescription échu, un créancier ne peut plus demander de versements n'y change rien. Par ailleurs, selon le décompte client au 31 décembre 2016 (P. 4/2), les intimés ont certes adressé au recourant, le 1 er mai 2015, des factures de prestations pour 2011, 2012, 2013 et 2014, puis le 1 er mai 2016, une facture de prestations pour 2015 ; toutefois, il ressort de ce même décompte que des factures ont été envoyées pour les années 2003 à 2010 et que de nombreux rappels ont été adressés au recourant pour ces années. Ce dernier ne fait par ailleurs pas valoir qu'il aurait, fin 2011 ou en 2012, convenu avec les intimés qu'aucun montant ne serait plus dû. En outre, il ressort de la lettre du recourant aux intimés du 31 décembre 2016 (P. 4/3) qu'il leur reproche de n'avoir pas voulu répondre à ses sollicitations pour, lors d'une rencontre, établir un décompte à fin 2016 et que des arrangements oraux avaient selon lui été convenus. Le fait que les parties soient en litige et que les intimés ont, selon le recourant, refusé le dialogue ou exigé le paiement de montants trop importants ou indus, alors que le recourant affirmait le 31 décembre 2016 que ceux-ci lui devaient encore la somme de 55'577 fr. 50, ne suffit pas à retenir que l'infraction de contrainte ou toute autre infraction pourrait être réalisée. Enfin, la décision de mesures superprovisionnelles du 16 mars 2017 a été suivie d'une audience le 10 mai 2017 qui a abouti à une convention par laquelle les parties ont convenu de la manière d'exploiter les parcelles mentionnées par l'ordonnance de mesures superprovisionnelles de mars 2017. Il est ainsi erroné d'affirmer qu'en août 2017, le recourant a dû accepter un arrangement parce que la décision de mars 2017 le privait d'accès à des terres. De plus, le recourant n'a pas tenté, du moins il ne le fait pas valoir, d'obtenir l'invalidation des conventions judiciaires qu'il a signées, notamment celle conclue devant le Juge de paix le 8 août 2017 (P. 5). Lors de toutes ces audiences, le recourant était assisté d'un avocat de sorte qu’il est exclu d’imaginer qu’il ait pu signer des conventions judiciaires sous l’emprise d’une contrainte au sens de l’art. 181 CP. Quant à l’existence d’une dette, et la menace de recouvrer celle-ci, comme déjà dit, il ne peut s’agir d’un moyen de contrainte au sens de cette disposition ; en effet, le procédé est licite, le recourant ne contestant pas devoir le montant en cause. Compte tenu de l’ensemble des éléments qui précèdent, c’est à raison que la Procureure a retenu que le litige qui oppose le recourant aux intimés est essentiellement civil et qu’il n’y avait aucun soupçon d’infraction pénale, de sorte qu’il convenait de rendre une ordonnance de non-entrée en matière en application de l’art. 310 al. 1 let. a CPP .</w:t>
      </w:r>
    </w:p>
    <w:p>
      <w:r>
        <w:rPr>
          <w:b/>
        </w:rPr>
        <w:t>E. 5</w:t>
      </w:r>
    </w:p>
    <w:p>
      <w:r>
        <w:t>Il résulte de ce qui précède que le recours, manifestement mal fondé, doit être rejeté sans échange d’écritures (art. 390 al. 2 CPP) et l’ordonnance du 17 septembre 2021 confirmée. Les frais de la procédure de recours, constitués du seul émolument d’arrêt (art. 422 al. 1 CPP), par 1’210 fr. (art. 20 al. 1 TFIP [Tarif des frais de procédure et indemnités en matière pénale du 28 septembre 2010 ; BLV 312.03.1]), seront mis à la charge E.________, qui succombe (art. 428 al. 1, 1 ère phrase CPP). Par ces motifs, la Chambre des recours pénale prononce : I. Le recours est rejeté. II. L’ordonnance du 17 septembre 2021 est confirmée. III. Les frais d’arrêt, par 1’210 fr. (mille deux cent dix francs), sont mis à la charge de E.________. IV. L’arrêt est exécutoire. Le président :               La greffière : Du Le présent arrêt, dont la rédaction a été approuvée à huis clos, est notifié, par l'envoi d'une copie complète, à : - Me Aba Neeman, avocat (pour E.________),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