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936 vom 10. Juni 2020</w:t>
      </w:r>
    </w:p>
    <w:p>
      <w:r>
        <w:t>VD Tribunal cantonal, 2020-06-10, FR</w:t>
      </w:r>
    </w:p>
    <w:p>
      <w:r>
        <w:rPr>
          <w:b/>
        </w:rPr>
        <w:t xml:space="preserve">Quelle: </w:t>
      </w:r>
      <w:r>
        <w:t>https://mcp.opencaselaw.ch/entscheid/vd_findinfo_D_cision___2020___936</w:t>
      </w:r>
    </w:p>
    <w:p>
      <w:r>
        <w:t>FR: VD_FINDINFO Décision / 2020 / 936 du 10 juin 2020</w:t>
      </w:r>
    </w:p>
    <w:p>
      <w:r>
        <w:t>IT: VD_FINDINFO Décision / 2020 / 936 del 10 giugno 2020</w:t>
      </w:r>
    </w:p>
    <w:p>
      <w:pPr>
        <w:pStyle w:val="Heading2"/>
      </w:pPr>
      <w:r>
        <w:t>Regeste</w:t>
      </w:r>
    </w:p>
    <w:p>
      <w:r>
        <w:t>TRAITEMENT AMBULATOIRE | 63 CP</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2.1</w:t>
      </w:r>
    </w:p>
    <w:p>
      <w:r>
        <w:t>et références citées).</w:t>
      </w:r>
    </w:p>
    <w:p>
      <w:r>
        <w:rPr>
          <w:b/>
        </w:rPr>
        <w:t>E. 3</w:t>
      </w:r>
    </w:p>
    <w:p>
      <w:r>
        <w:t>Les faits et leurs qualifications juridiques ne sont pas contestés, de sorte qu’il reste à examiner la fixation de la peine et les modalités d’exécution de celle-ci, ainsi que la mesure.</w:t>
      </w:r>
    </w:p>
    <w:p>
      <w:r>
        <w:rPr>
          <w:b/>
        </w:rPr>
        <w:t>E. 4.1</w:t>
      </w:r>
    </w:p>
    <w:p>
      <w:r>
        <w:t>L’appelant critique la peine de base fixée à 18 mois pour la contrainte sexuelle, dont les circonstances auraient dû aboutir selon lui à 12 mois, alors que les autres infractions devraient être punies de 20 jours chacune, ce qui aboutirait à une peine privative de liberté globale de 16 mois.</w:t>
      </w:r>
    </w:p>
    <w:p>
      <w:r>
        <w:rPr>
          <w:b/>
        </w:rPr>
        <w:t>E. 4.2</w:t>
      </w:r>
    </w:p>
    <w:p>
      <w:r>
        <w:t>Selon l’art.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 ATF 141 IV 61 consid. 6.1.1 et les réf. citées ; TF 6B_1463/2019 du 20 février 2020 consid. 2.1.1).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rPr>
          <w:b/>
        </w:rPr>
        <w:t>E. 4.3.1</w:t>
      </w:r>
    </w:p>
    <w:p>
      <w:r>
        <w:t>Les premiers juges ont considéré que la culpabilité de l’appelant était très importante parce qu’il avait récidivé pour la quatrième fois en matière pénale et notamment en commettant des infractions pour lesquelles il avait déjà été condamné. Ils ont estimé que les condamnations antérieures n’avaient pas eu l’effet dissuasif attendu et qu’il y avait lieu de considérer que le prévenu s’était installé dans la délinquance. A charge, ils ont retenu le concours d’infractions. Enfin, comme genre de peine ils ont choisi une peine privative de liberté, la peine pécuniaire ayant démontré son inefficacité dans le cas particulier. A décharge, ils ont pris en considération les excuses écrites et orales adressées aux plaignants, l’admission des faits et la collaboration à l’instruction, la reconnaissance des créances en faveur des lésés et une apparente prise de conscience. Ils ont en outre relevé l’investissement dans le traitement contre la toxicomanie en cours à la Fondation du Levant, nonobstant les rechutes occasionnelles. S’agissant des concours, les premiers juges ont considéré que l’infraction la plus grave était la contrainte sexuelle exercée à l’encontre d’une personne très affaiblie en mettant à profit la situation lui offrant une emprise totale sur elle. Ils ont décidé de la sanctionner de 18 mois de peine privative de liberté en intégrant à cette sanction la réduction induite par la légère diminution de la responsabilité pénale de l’auteur identifiée par les experts dans ce seul cas. Ils ont ensuite alourdi cette peine de base de 30 jours pour chacun des six cas constitués par les opérations d’appropriation illégitime (cas 1), de vol (cas 2 et 4 à 6) et d’induction de la justice en erreur (cas 3), soit une majoration de six mois portant la peine globale à 2 ans.</w:t>
      </w:r>
    </w:p>
    <w:p>
      <w:r>
        <w:rPr>
          <w:b/>
        </w:rPr>
        <w:t>E. 4.3.2</w:t>
      </w:r>
    </w:p>
    <w:p>
      <w:r>
        <w:t>En l’occurrence, la culpabilité de X.________ est lourde. A la motivation des premiers juges (cf. consid. 4.3.1 supra), on ajoutera encore, comme facteur aggravant, le fait que l’appelant a agi sans scrupules, soit à l’encontre de colocataires, c’est-à-dire de familiers, soit pour couvrir ses agissements coupables à leur encontre en dénonçant de prétendus cambriolages, comme il l’avait déjà fait souvent auparavant, soit encore à l’encontre de personnes hospitalisées et donc vulnérables, volées au CHUV, à la Clinique de la Source et abusée à Cery. S’agissant de la fixation de la peine de base, il faut toutefois considérer, sans minimiser les faits, que, dans la mesure où les actes sexuels ont été brefs, qu’ils se sont « limités » à des contacts manuels, qu’ils ont pris fin en raison des gestes de défense de la victime, qu’il n’y a pas eu d’acharnement, et que la responsabilité pénale de X.________ était légèrement diminuée au moment des actes commis, la peine de base de dix-huit mois fixée par les premiers juges est trop sévère et mérite d’être arrêtée à 12 mois, comme le propose l’appelant. En revanche, les majorations liées aux autres délits, commis avec pleine responsabilité pénale en profitant sans scrupules de la confiance de familiers ou de la détresse de patients en hôpital ou de celle de leurs proches, doivent être plus élevées et arrêtées à 2 mois de peine privative de liberté pour chaque cas. On aboutit ainsi au maintien de la peine privative de liberté globale de 24 mois fixée par les premiers juges (12 + 2 + 2 + 2 + 2 + 2 + 2). Cette peine sera ferme, l’appelant ne répondant pas aux conditions du sursis pour les motifs exposés par les premiers juges dans le jugement attaqué et auxquels on peut renvoyer (jugement attaqué p.19 ; art. 82 al. 4 CPP). L’amende de 300 fr. qui sanctionne les contraventions commises par X.________, non contestée, est adéquate. Il en va de même de la peine privative de liberté en cas de non-paiement fautif de 3 jours.</w:t>
      </w:r>
    </w:p>
    <w:p>
      <w:r>
        <w:rPr>
          <w:b/>
        </w:rPr>
        <w:t>E. 5.1</w:t>
      </w:r>
    </w:p>
    <w:p>
      <w:r>
        <w:t>L’appelant demande que l’entier de son séjour au sein de la Fondation du Levant, où il réside à titre de mesures de substitution à la détention avant jugement au sens de l’art. 237 CPP, soit assimilé à de la détention et que 377 jours soient déduits de sa peine.</w:t>
      </w:r>
    </w:p>
    <w:p>
      <w:r>
        <w:rPr>
          <w:b/>
        </w:rPr>
        <w:t>E. 5.2.1</w:t>
      </w:r>
    </w:p>
    <w:p>
      <w:r>
        <w:t>Selon l’art. 51 CP, le juge impute sur la peine la détention avant jugement subie par l’auteur dans le cadre de l’affaire qui vient d’être jugée ou d’une autre procédure. Il découle de cette disposition que la détention avant jugement – soit la détention ordonnée au cours d'un procès pénal pour les besoins de l'instruction, pour des motifs de sûreté ou en vue de l'extradition (cf. art. 110 al.</w:t>
      </w:r>
    </w:p>
    <w:p>
      <w:r>
        <w:rPr>
          <w:b/>
        </w:rPr>
        <w:t>E. 5.2.2</w:t>
      </w:r>
    </w:p>
    <w:p>
      <w:r>
        <w:t>La limitation à la liberté personnelle résultant de l’assignation à résidence pour une longue durée n’est pas anodine, dès lors que le prévenu n’a le droit de sortir que pour aller travailler, sur la base d’un horaire strictement déterminé, et pour se rendre, après autorisation, à des rendez-vous précis tels que médecin ou avocat. Il s’agit d’une restriction notable à sa liberté personnelle, notamment si l’on tient compte du fait qu’il ne peut en principe y avoir de sortie les jours autres que les jours de travail. S’agissant d’une assignation à résidence, la jurisprudence cantonale considère que l’imputation des jours subis doit être opérée à raison de 50%. Ainsi, deux jours à domicile correspondraient à un jour de détention (CAPE 10 juillet 2014/2013 consid. 2.3.2).</w:t>
      </w:r>
    </w:p>
    <w:p>
      <w:r>
        <w:rPr>
          <w:b/>
        </w:rPr>
        <w:t>E. 5.3</w:t>
      </w:r>
    </w:p>
    <w:p>
      <w:r>
        <w:t>En l’occurrence, il faut tenir compte du fait que le prévenu est astreint, à titre de mesures de substitution, à un traitement médical et de contrôle d’abstinence au Levant, fondation dans laquelle il doit séjourner et qui l’encadre et le surveille. En termes de privation de liberté, ces conditions de vie ne sont toutefois pas assimilables à celles qui prévalent dans un établissement de détention avant jugement où le détenu passe l’essentiel de son temps enfermé dans une cellule de quelques mètres carrés. Au vu de ce qui précède, le taux de conversion de 2/3 retenu par les premiers juges, qui tient compte des restrictions à la liberté personnelle vécues au sein de cette institution qui inclut un espace de liberté dans le site de la fondation bien plus large que dans une prison (chambre non verrouillée, liberté dans les allées et venues au sein de l’institution, travail à l’extérieur, sorties régulières, pratique du football dans un club etc.), s’avère adéquat et doit être confirmé. Mal fondé, le moyen de l’appelant doit être rejeté. 6. 6.1 L’appelant requiert en outre que les jours passés depuis l’audience de jugement jusqu’au débats d’appel, soit du 11 juin 2020 au 23 novembre 2020, soient également déduits. 6.2 En l’occurrence, les restrictions à la liberté personnelle de l’appelant durant cette période se limitent à une supervision de ses sorties – il doit en faire la demande, mais elles lui sont systématiquement accordées – à des contrôles liés à l’abstinence aux drogues et à l’alcool, ainsi qu’à des rendez-vous en relation avec son suivi psychiatrique. On est loin des restrictions imposées au sein d’une prison. Par conséquent, une réduction d’1/4 est adéquate. L’appelant ayant subi 165 jours de privation de liberté dans le cadre des mesures de substitution entre l’audience de jugement et l’audience d’appel, il convient de déduire 42 jours supplémentaires de la peine prononcée.</w:t>
      </w:r>
    </w:p>
    <w:p>
      <w:r>
        <w:rPr>
          <w:b/>
        </w:rPr>
        <w:t>E. 7</w:t>
      </w:r>
    </w:p>
    <w:p>
      <w:r>
        <w:t>CP) – doit être imputée sur la peine même si cette détention résulte d'une procédure antérieure (ATF 141 IV 236 consid. 3.3 ; ATF 133 IV 150 consid. 5.1 ; TF 6B_389/2018 du 6 septembre 2018 consid. 1.1). Est déterminant, à cet égard, le fait que le prévenu eût été privé de liberté (cf. Message du 21 septembre 1998, FF 1999 1869). La notion de détention avant jugement est définie par l'art. 110 al. 7 CP, qui suppose une privation de liberté d'une certaine durée que la doctrine et la jurisprudence fixe à plus de trois heures (cf. Jeanneret, in Commentaire romand, Code pénal I, Bâle 2009, n. 1 ad art. 110 al. 7 CP). S'agissant des mesures de substitution, l'imputation n'est pas automatique. Toutefois, selon les circonstances, la jurisprudence admet qu'une mesure présentant une restriction analogue à la détention avant jugement soit assimilée à celle-ci, impliquant alors une imputation totale ou partielle si la restriction à la liberté, quoi que significative, n'est pas analogue à la privation totale de liberté qu'implique la détention avant jugement (ATF 124 IV 1 c. 2a; ATF 113 IV 118). La doctrine admet que ces principes doivent s'appliquer également lorsque qu'une surveillance électronique au sens de l'art. 237 CPP est mise en œuvre à titre de mesure de substitution à la détention avant jugement (Jeanneret, op. cit. n. 10 ad art. 110 CPP; Pitteloud, Code de procédure pénale suisse, Commentaire à l'usage des praticiens, Zurich 2012, ch. 530, p. 355 s.). Le juge dispose d'un large pouvoir d'appréciation en la matière (ATF 140 IV 174 c. 2.4; ATF 121 IV 303). Ce n’est pas un abus du pouvoir d’appréciation que de refuser l’imputation pour le motif que la liberté personnelle de l’intéressé n’a pas été entravée d’une manière appréciable par un programme de réhabilitation (ATF 122 IV 51).</w:t>
      </w:r>
    </w:p>
    <w:p>
      <w:r>
        <w:rPr>
          <w:b/>
        </w:rPr>
        <w:t>E. 7.1</w:t>
      </w:r>
    </w:p>
    <w:p>
      <w:r>
        <w:t>L’appelant requiert la mise en œuvre d’un traitement ambulatoire au sens de l’art. 63 CP.</w:t>
      </w:r>
    </w:p>
    <w:p>
      <w:r>
        <w:rPr>
          <w:b/>
        </w:rPr>
        <w:t>E. 7.2.1</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w:t>
      </w:r>
    </w:p>
    <w:p>
      <w:r>
        <w:rPr>
          <w:b/>
        </w:rPr>
        <w:t>E. 7.2.2</w:t>
      </w:r>
    </w:p>
    <w:p>
      <w:r>
        <w:t>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L'expert devra ainsi se prononcer, en particulier, sur la forme du traitement et la mesure qui lui semble la plus appropriée (TF 6B_28/2017 du 23 janvier 2018 consid. 3.3.3 ; TF 6B_133/2017 du 12 janvier 2018 consid. 1.2 notamment).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2.1.3). L'expert se prononce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(TF 6B_1160/2017 du 17 avril 2018 consid.</w:t>
      </w:r>
    </w:p>
    <w:p>
      <w:r>
        <w:rPr>
          <w:b/>
        </w:rPr>
        <w:t>E. 7.3</w:t>
      </w:r>
    </w:p>
    <w:p>
      <w:r>
        <w:t>En l’occurrence, les premiers juges ont prononcé une mesure institutionnelle pour le traitement des addictions au sens de l’art. 60 CP en se basant sur l’expertise psychiatrique rendue le 16 septembre 2019 par l’Unité d’expertise psychiatrique du réseau fribourgeois de la santé mentale (P. 54), qui retenait que le risque de récidive était particulièrement élevé en cas de rechute dans les consommations toxiques. Toutefois, plusieurs éléments nouveaux sont apparus depuis lors. On mentionnera ainsi le rapport éducatif intermédiaire établi le 18 novembre 2020 par [...] (éducateur CTR) et [...] (éducateur référent) de la Fondation du Levant (P. 122), dont il ressort en substance qu’après une période compliquée en raison d’angoisses liées à l’approche de l’audience de jugement, X.________ a passé deux semaines au sein de la structure de la CASA de la Fondation du Levant où il a intensifié son suivi thérapeutique. Depuis ce séjour, une nette amélioration dans les relations et une réelle remise en question de ses fonctionnements ont été constatées. X.________ se montre en outre abstinent depuis le 28 septembre 2020 et a repris contact avec les membres de sa famille, notamment avec ses parents, son frère, sa famille plus éloignée et quelques amis d’enfance. Il s’investit à nouveau dans son club de football et a été rendu attentif au fait qu’il devait veiller à garder un équilibre entre ses différentes activités. Sur le plan des relations sentimentales, il semble conscient de sa fragilité en cas de rupture amoureuse et travaille sur cet aspect en psychothérapie. Il ne s’est au demeurant pas réinvesti dans une relation sentimentale ces derniers mois afin de se protéger. Sur le plan professionnel, X.________ travaille depuis le 15 février 2020 à 100% auprès de l’assurance [...]. Il se montre investi et assidu. En septembre 2020, il a reçu de très bonnes appréciations de son employeur et a été sélectionné pour participer à des programmes de formation interne. Enfin, X.________, malgré les contraintes de temps liées au fait qu’il travaille à 100%, s’organise en fonction de son emploi du temps professionnel afin de poursuivre son traitement psychothérapeutique. Au regard de ces différents éléments, tant [...] que [...], considèrent qu’une mesure ambulatoire semblerait plus adaptée à son rythme de vie et de travail. Les prénommés relèvent enfin que X.________ a déjà passé près de 18 mois à la Fondation du Levant, qu’une mesure institutionnelle au sens de l’art. 60 CP serait très complexe à initier pour les équipes professionnelles et que par ailleurs, dès lors que X.________ bénéficie actuellement d’un cadre de sortie relativement ouvert (sorties non-accompagnées, possibilité de nuit à l’extérieur, travail externe), une mesure institutionnelle irait à l’encontre de l’aboutissement de ces différentes étapes. Aux débats d’appel, [...] a confirmé le contenu de ce rapport. Il a rappelé que les rechutes de l’appelant étaient principalement liées à l’incertitude existentielle liée au jugement et a confirmé qu’au vu de la liberté dont bénéficiait l’intéressé aujourd’hui, la contrainte de vie en institution n’avait plus beaucoup de sens et que la Fondation du Levant était au bout des phases d’un traitement institutionnel, si bien que la suite sous la forme d’un traitement ambulatoire paraissait préférable. A cela s’ajoute le rapport du Dr [...],  médecin référent de la Fondation du Levant qui suit X.________ depuis six mois à raison de 1 à 3 fois par mois. Ce praticien conclut également au prononcé d’une mesure ambulatoire avec poursuite d’une activité professionnelle. Il explique que la prolongation du séjour résidentiel n’apporterait plus de bénéfice à l’appelant et pourrait rapidement devenir contre-productive, avec une perte de sens tant pour les intervenant que pour le patient (P. 122). Quant au Ministère public, il a déclaré en appel qu’au vu de l’écoulement du temps et des faits nouveaux, il n’était pas opposé à la mise en œuvre d’un traitement ambulatoire nonobstant les conclusions de l’expertise psychiatrique. Au vu de l’ensemble des éléments qui précèdent, il convient de suivre la proposition des spécialistes qui accompagnent et côtoient régulièrement X.________, et donc de prononcer une mesure ambulatoire au sens de l’art. 63 CP. En conséquence, l’exécution de la peine privative de liberté de 24 mois, dont à déduire 6 jours pour réparation du tort moral (détention illicite), 133 jours de détention avant jugement et 294 jours relatifs à la privation de liberté dans le cadre des mesures de substitution à la détention provisoire (252 + 42), sera suspendue au profit d’une mesure ambulatoire a sens de l’art. 63 CP.</w:t>
      </w:r>
    </w:p>
    <w:p>
      <w:r>
        <w:rPr>
          <w:b/>
        </w:rPr>
        <w:t>E. 8</w:t>
      </w:r>
    </w:p>
    <w:p>
      <w:r>
        <w:t>Compte tenu de la récidive spéciale commise dans le délai d’épreuve qui avait été accordé à X.________ le 12 décembre 2014 par le Ministère public de l’arrondissement de Lausanne, il se justifie de révoquer le sursis en question, l’intéressé ayant démontré que ce mode de sanction était dénué de chance de succès en ce qui le concerne. La peine pécuniaire de 150 jours-amende à 20 fr. devra donc être exécutée.</w:t>
      </w:r>
    </w:p>
    <w:p>
      <w:r>
        <w:rPr>
          <w:b/>
        </w:rPr>
        <w:t>E. 9</w:t>
      </w:r>
    </w:p>
    <w:p>
      <w:r>
        <w:t>Le maintien des mesures de substitution à la détention pour des motifs de sûreté de X.________ sera ordonné jusqu’à la mise en œuvre du traitement ambulatoire.</w:t>
      </w:r>
    </w:p>
    <w:p>
      <w:r>
        <w:rPr>
          <w:b/>
        </w:rPr>
        <w:t>E. 10</w:t>
      </w:r>
    </w:p>
    <w:p>
      <w:r>
        <w:t>En définitive, l’appel de X.________ est partiellement admis et le jugement entrepris réformé dans le sens des considérants qui précèdent. Il s’avère que le dispositif communiqué après l’audience d’appel contient une erreur de plume à son chiffre VIII en ce sens que X.________ ne sera tenu de rembourser à l’Etat le montant des indemnités en faveur de son défenseur d’office et du conseil d’office de [...] prévues aux chiffres V et VI – et non aux chiffres III et IV – mis à sa charge ci-dessus que lors que sa situation financière le permettra. S’agissant d’une erreur manifeste, le dispositif doit être rectifié d’office en application de l’art. 83 al. 1 CPP. La liste d’opérations produite par le conseil d’office de [...] (P. 120/1) fait état de 2h00 d’activité d’avocat et de 0h45 d’activité d’avocat-stagiaire. L’indemnité requise comprend ainsi des honoraires de 442 fr. 50, des débours forfaitaires par 8 fr. 85 en sus ainsi que la TVA sur le tout par 34 fr. 79, et s’élève ainsi à 486 fr.15 . S’agissant de la liste des opérations produite par le défenseur d’office de X.________, elle indique un total de 30.5 heures, audience d’appel non comprise. Il convient d’en retrancher l’entier du poste « recherches juridiques et étude du dossier et des pièces » annoncé à 6.5 heures. En effet, le temps annoncé pour la rédaction de la déclaration d’appel, soit 5.5 heures est suffisant pour les recherches juridiques et la rédaction de l’acte. Compte tenu de la durée de l’audience par 1h00 et d’une vacation à cette occasion, l’indemnité de défenseur d’office comporte 4’500 fr. d’honoraires, 1 vacation à 120 fr. et des débours forfaitaires par 90 fr. en sus ainsi que la TVA sur le tout par 362 fr. 65, et s’élève ainsi à 5'072 fr. 65. Au vu de l’issue de la cause, les frais de la procédure d’appel, soit l’émolument de jugement par 3’120 fr. (art. 21 al. 1 et 2 TFIP [Tarif des frais de procédure et indemnités en matière pénale du 28 septembre 2010 ; BLV 312.03.1]) et les indemnités précitées par 486 fr. 15 et 5'075 fr. 65, sont mis par moitié à la charge de l’appelant (art. 428 al. 1, 1 re phrase, CPP). L’appelant ne sera tenu de rembourser le montant des indemnités d'office mises à sa charge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