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567 vom 21. Juli 2020</w:t>
      </w:r>
    </w:p>
    <w:p>
      <w:r>
        <w:t>VD Tribunal cantonal, 2020-07-21, FR</w:t>
      </w:r>
    </w:p>
    <w:p>
      <w:r>
        <w:rPr>
          <w:b/>
        </w:rPr>
        <w:t xml:space="preserve">Quelle: </w:t>
      </w:r>
      <w:r>
        <w:t>https://mcp.opencaselaw.ch/entscheid/vd_findinfo_D_cision___2020___567</w:t>
      </w:r>
    </w:p>
    <w:p>
      <w:r>
        <w:t>FR: VD_FINDINFO Décision / 2020 / 567 du 21 juillet 2020</w:t>
      </w:r>
    </w:p>
    <w:p>
      <w:r>
        <w:t>IT: VD_FINDINFO Décision / 2020 / 567 del 21 luglio 2020</w:t>
      </w:r>
    </w:p>
    <w:p>
      <w:pPr>
        <w:pStyle w:val="Heading2"/>
      </w:pPr>
      <w:r>
        <w:t>Regeste</w:t>
      </w:r>
    </w:p>
    <w:p>
      <w:r>
        <w:t>DÉTENTION PROVISOIRE, RISQUE DE RÉCIDIVE | 221 al. 1 let. c CPP (CH), 228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d’A.I.________ est recevable.</w:t>
      </w:r>
    </w:p>
    <w:p>
      <w:r>
        <w:rPr>
          <w:b/>
        </w:rPr>
        <w:t>E. 2</w:t>
      </w:r>
    </w:p>
    <w:p>
      <w:r>
        <w:t>juin 2020). Ainsi, les propos de cette dernière ne sauraient en l’état remettre en doute les accusations des deux lésés. Enfin, il est faux d’affirmer que les échanges entre le recourant et la plaignante ont été cordiaux. A la lecture des messages traduits de l’albanais, on relève que si certains de ceux-ci apparaissent à première vue factuels et concerner les enfants, d’autres, notamment ceux du mois de mai 2020, révèlent que les parties semblent en conflit en lien avec la relation sentimentale de la plaignante (P. 58/2). Or, cela corrobore les accusations formulées par [...] et les explications données par B.I.________. En définitive, au vu de l’ensemble des éléments qui précèdent, il y a lieu de relever qu’il existe toujours, à ce stade de l’instruction, des indices de culpabilité suffisants à l’encontre d’A.I.________. Il convient en outre de rappeler que, selon la jurisprudence, il n’appartient pas au juge de la détention de procéder à une pesée complète des éléments à charge et à décharge ou d’apprécier la crédibilité des parties, mais simplement d’examiner s’il existe des indices sérieux de culpabilité.</w:t>
      </w:r>
    </w:p>
    <w:p>
      <w:r>
        <w:rPr>
          <w:b/>
        </w:rPr>
        <w:t>E. 2.1</w:t>
      </w:r>
    </w:p>
    <w:p>
      <w:r>
        <w:t>Le recourant conteste l’existence de soupçons de culpabilité suffisants à son égard. Il relève que les auditions mises en œuvre au cours de la procédure, en particulier celles de [...] et de [...], n’ont pas permis d’étayer les accusations de menaces et d’injure formulées par B.I.________. Il fait valoir que ses échanges avec la plaignante ont été cordiaux et qu’il n’a pas cherché à exercer une quelconque pression sur elle en lien avec sa relation amoureuse avec [...], ces seules préoccupations se rapportant à ses enfants. Il ajoute enfin que le prénommé a tenu des propos contradictoires.</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1B_308/2018 du 17 juillet 2018 consid. 2.1 ; Forster, in : Niggli/Heer/Wiprächtiger [éd.], Basler Kommentar, Schwei­zerische Strafprozessordnung, 2 e éd., Bâle 2014, n. 3 ad art. 221 CPP).</w:t>
      </w:r>
    </w:p>
    <w:p>
      <w:r>
        <w:rPr>
          <w:b/>
        </w:rPr>
        <w:t>E. 2.3</w:t>
      </w:r>
    </w:p>
    <w:p>
      <w:r>
        <w:t>En l’occurrence, malgré les dénégations du recourant, il y a lieu de constater que les accusations de B.I.________ sont constantes et restent à ce stade crédibles (cf. not. PV aud. 4, du 13 mai 2020). Par ailleurs, quand bien même, lors de son audition du 27 mai 2020 (PV aud. 7), [...] n’étaye pas expressément les accusations de la plaignante, il a tout de même expliqué avoir été lui-même menacé par A.I.________ parce qu’il entretenait une relation avec la plaignante et qu’il voyait les enfants de ceux-ci. Il a en effet notamment déclaré que cela s’était également passé via le réseau social Facebook et qu’il allait fournir des preuves des communications menaçantes. Les accusations des deux lésés se recoupent et apparaissent donc vraisemblables. A tout le moins, de tels éléments sont de nature à fonder des soupçons importants à l’encontre du recourant. En outre, si on peut admettre avec ce dernier que l’audition de [...] n’a pas étayé les propos tenus par la plaignante, il y a lieu de rappeler que celle-ci est l’amie du prévenu et que sa déposition doit être examinée avec précaution (cf. not. PV aud. 8, pp. 4-6, du</w:t>
      </w:r>
    </w:p>
    <w:p>
      <w:r>
        <w:rPr>
          <w:b/>
        </w:rPr>
        <w:t>E. 3.1</w:t>
      </w:r>
    </w:p>
    <w:p>
      <w:r>
        <w:t>Le recourant semble contester l’existence d’un risque de réitération et un risque de passage à l’acte.</w:t>
      </w:r>
    </w:p>
    <w:p>
      <w:r>
        <w:rPr>
          <w:b/>
        </w:rPr>
        <w:t>E. 3.2.1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rPr>
          <w:b/>
        </w:rPr>
        <w:t>E. 3.2.2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Plus l'infraction redoutée est grave, plus la mise en détention se justifie lorsque les éléments disponibles ne permettent pas une évaluation précise de ce risque (ATF 140 IV 19 consid. 2.1.1 ; TF 6B_446/2015 du 19 janvier 2016 consid. 2.1 ; CREP 17 novembre 2015/743).</w:t>
      </w:r>
    </w:p>
    <w:p>
      <w:r>
        <w:rPr>
          <w:b/>
        </w:rPr>
        <w:t>E. 3.3</w:t>
      </w:r>
    </w:p>
    <w:p>
      <w:r>
        <w:t>En l’espèce, le recourant se trouve en situation de récidive spéciale, dès lors qu’il a été condamné, en date du 21 février 2019, à une peine privative de liberté de 18 mois pour avoir commis, outre des faits plus grave encore, des faits similaires, commis à réitérées reprises, à ceux qui lui sont reprochés dans le cadre de la présente affaires. A l’époque, il s’en était en effet pris à la plaignante en commettant à son égard des menaces et des injures, mais aussi de la contrainte et des lésions corporelles. En outre, les nouvelles accusations proférées à l’encontre d’A.I.________ interviennent dans le délai d’épreuve assortissant la libération conditionnelle de celui-ci et alors qu’il s’expose à devoir exécuter un important solde de peine de plus de quatre mois. Ainsi, on constate que quand bien même le recourant a déjà purgé de nombreux mois de privation de liberté pour des faits similaires, celui-ci semble persister à s’en prendre à son épouse, au mépris des décisions de justice prises contre lui. Ce comportement se révèle particulièrement inquiétant et permet légitimement de redouter que le prévenu s’en prenne à nouveau à B.I.________, voire mette une partie de ses menaces à exécution. De surcroît, on relève que, lors de l’expertise psychiatrique réalisée en novembre 2018, les experts avaient qualifié le risque de récidive qu’il présentait de très élevé. Dans ces circonstances, force est de constater que le prévenu présente un important risque de récidive. A fortiori , il présente également un risque de passage à l’acte.</w:t>
      </w:r>
    </w:p>
    <w:p>
      <w:r>
        <w:rPr>
          <w:b/>
        </w:rPr>
        <w:t>E. 3.4</w:t>
      </w:r>
    </w:p>
    <w:p>
      <w:r>
        <w:t>Les conditions de l’art. 221 al. 1 CPP étant alternatives (cf. TF 1B_242/2016 du 21 juillet 2016 consid. 5), l’existence d’un risque de réitération dispense la Cour de céans d’examiner si la détention provisoire s’impose également en raison des risques de fuite et de collusion retenus par le Tribunal des mesures de contrainte.</w:t>
      </w:r>
    </w:p>
    <w:p>
      <w:r>
        <w:rPr>
          <w:b/>
        </w:rPr>
        <w:t>E. 4.1</w:t>
      </w:r>
    </w:p>
    <w:p>
      <w:r>
        <w:t>Le recourant requiert le prononcé de mesures de substitution, à tout le moins sous la forme d’une assignation à résidence, le cas échéant assortie du port du bracelet électronique, et de l’interdiction de s’approcher à moins de 500 m du domicile de la plaignante et d’entretenir tout contact avec elle.</w:t>
      </w:r>
    </w:p>
    <w:p>
      <w:r>
        <w:rPr>
          <w:b/>
        </w:rPr>
        <w:t>E. 4.2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JdT 2011 IV 3).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4.3</w:t>
      </w:r>
    </w:p>
    <w:p>
      <w:r>
        <w:t>En l’occurrence, les mesures de substitution proposées par le prévenu ne sont pas aptes à contenir le risque de réitération constaté. En effet, si les faits reprochés à ce dernier venaient à être confirmés, on relève que même une privation de liberté d’une durée de nombreux mois et la menace de devoir exécuter un important solde de peine en cas de nouvelle infraction ne l’ont pas dissuadé de s’en prendre à nouveau à son épouse. A.I.________ semble ainsi démontrer qu’il ne tient nullement compte des injonctions prononcées contre lui. En particulier, une assignation à résidence, même assortie du port du bracelet électronique, ne permettrait pas, vu l’intensité du risque de récidive que présente le recourant, de l’entraver suffisamment dans sa liberté pour l’empêcher de commettre, s’il le souhaitait, de nouvelles infractions.</w:t>
      </w:r>
    </w:p>
    <w:p>
      <w:r>
        <w:rPr>
          <w:b/>
        </w:rPr>
        <w:t>E. 5</w:t>
      </w:r>
    </w:p>
    <w:p>
      <w:r>
        <w:t>Il résulte de ce qui précède que le recours, manifestement mal fondé, doit être rejeté sans échange d’écritures (art. 390 al. 2 CPP) et l’ordonnance contestée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 selon la liste d’opérations produite (P. 80), dont il convient de déduire les 45 minutes liées aux recherches juridiques, qui, portant sur des questions de base, ne sauraient être facturées au client en sus du temps déjà élevé consacré à la confection du recours – à 608 fr. 65 (5h32 d’activité d’avocat-stagiaire au tarif horaire de 110 fr.), auxquels il convient d’ajouter des débours forfaitaires à concurrence de 2 % (art. 3bis al. 1 RAJ [Règlement sur l’assistance judiciaire en matière civile du 7 décembre 2010 ; BLV 211.02.3], applicable par renvoi de l’art. 26b TFIP), par 12 fr. 20, plus la TVA, par 47 fr. 80, soit à 668 fr. 65 au total, montant qu’il y a lieu d’arrondir à 669 fr.,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10 juillet 2020 est confirmée. III. L’indemnité allouée au défenseur d’office d’A.I.________ est fixée à 669 fr. (six cent soixante-neuf francs). IV. Les frais d’arrêt, par 1’210 fr. (mille deux cent dix francs), ainsi que l’indemnité due au défenseur d’office d’A.I.________, par 669 fr. (six cent soixante-neuf francs), sont mis à la charge de ce dernier. V. Le remboursement à l’Etat de l’indemnité allouée au chiffre III ci-dessus ne sera exigible que pour autant que la situation financière d’A.I.________ le permette. VI. L’arrêt est exécutoire. La vice-présidente : Le greffier : Du Le présent arrêt, dont la rédaction a été approuvée à huis clos, est notifié, par l'envoi d'une copie complète, à : - Me Véronique Fontana, avocate (pour A.I.________), - Ministère public central, et communiqué à : - Mme la Présidente du Tribunal des mesures de contrainte, - Mme la Procureure de l’arrondissement de Lausanne, - Me Natasa Djurdjevac Heinzer, avocate (pour B.I.________),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