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559 vom 29. Mai 2020</w:t>
      </w:r>
    </w:p>
    <w:p>
      <w:r>
        <w:t>VD Tribunal cantonal, 2020-05-29, FR</w:t>
      </w:r>
    </w:p>
    <w:p>
      <w:r>
        <w:rPr>
          <w:b/>
        </w:rPr>
        <w:t xml:space="preserve">Quelle: </w:t>
      </w:r>
      <w:r>
        <w:t>https://mcp.opencaselaw.ch/entscheid/vd_findinfo_D_cision___2020___559</w:t>
      </w:r>
    </w:p>
    <w:p>
      <w:r>
        <w:t>FR: VD_FINDINFO Décision / 2020 / 559 du 29 mai 2020</w:t>
      </w:r>
    </w:p>
    <w:p>
      <w:r>
        <w:t>IT: VD_FINDINFO Décision / 2020 / 559 del 29 maggio 2020</w:t>
      </w:r>
    </w:p>
    <w:p>
      <w:pPr>
        <w:pStyle w:val="Heading2"/>
      </w:pPr>
      <w:r>
        <w:t>Regeste</w:t>
      </w:r>
    </w:p>
    <w:p>
      <w:r>
        <w:t>NON-LIEU, DISCRIMINATION RACIALE, CONTRAINTE{DROIT PÉNAL}, MENACE{DROIT PÉNAL}, TRAITE D'ÊTRES HUMAINS, IN DUBIO PRO DURIORE, QUALITÉ POUR RECOURIR | 180 CP, 181 CP, 182 CP, 261bis CP, 310 CPP (CH), 382 al. 1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et dans les formes prescrites (art. 385 al. 1 CPP) auprès de l’autorité compétente, le recours de V.________ est recevable en la forme.</w:t>
      </w:r>
    </w:p>
    <w:p>
      <w:r>
        <w:rPr>
          <w:b/>
        </w:rPr>
        <w:t>E. 2.1</w:t>
      </w:r>
    </w:p>
    <w:p>
      <w:r>
        <w:t>La recourante invoque une violation du principe in dubio pro duriore , qui aurait selon elle commandé l’ouverture d’une enquête puisque les infractions dont elle se plaint auraient été commises « entre quatre yeux ». Elle soutient également que l’ordonnance litigieuse serait arbitraire dès lors que le Ministère public n’aurait pas tenu compte des déclarations de G.________.</w:t>
      </w:r>
    </w:p>
    <w:p>
      <w:r>
        <w:rPr>
          <w:b/>
        </w:rPr>
        <w:t>E. 2.2</w:t>
      </w:r>
    </w:p>
    <w:p>
      <w:r>
        <w:t>Conformément à l'art. 310 al. 1 let. a CPP, le ministère public rend immédiatement – c'est-à-dire sans qu'une instruction soit ouverte (art. 309 al. 1 et 4 CPP ; TF 1B_111/2012 du 5 avril 2012 consid. 2.1 ; Grodecki/Cornu, in : Jeanneret/Kuhn/Perrier Depeursinge [éd.], Commentaire romand, Code de procédure pénale suisse [ci-après : CR CPP], 2 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JdT 2012 IV 160).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 citées).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6B_1239/2018 du 11 mars 2019 consid. 3.1.2 ; TF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 (TF 6B_766/2018 du 28 septembre 2018 consid. 3.1).</w:t>
      </w:r>
    </w:p>
    <w:p>
      <w:r>
        <w:rPr>
          <w:b/>
        </w:rPr>
        <w:t>E. 2.3</w:t>
      </w:r>
    </w:p>
    <w:p>
      <w:r>
        <w:t>Il est vrai qu’en l’espèce, le Ministère public n’a pris en considération, dans son ordonnance de non-entrée en matière, que les déclarations du pasteur X.________ – qui vont pour l’essentiel dans le sens de celles de B.N.________ et d’I.T.N________ –, à l’exception de celles de G.________, qui sont pourtant susceptibles de donner un éclairage différent à la situation de la plaignante. Celle-ci a en effet notamment indiqué qu’elle croyait « sur parole » les accusations portées par V.________ contre les époux N.________, qu’elle savait qu’I.T.N________ faisait venir le médicament dont V.________ avait parlé du [...] (PV aud. 4, R. 7), que la plaignante faisait systématiquement la cuisine lorsqu’elle était présente à l’église, alors que la règle était en principe de faire un tournus chaque dimanche, ce qu’elle ne trouvait pas correct, et qu’après s’être rendu compte que V.________ n’était pas en bonne santé, elle lui avait permis de rester chez elle et de ne pas retourner vivre auprès de la famille N.________ (ibid., R. 6). De telles déclarations pourraient justifier des investigations supplémentaires, pour autant que l’on puisse envisager la réalisation des infractions évoquées par la plaignante, ce qu’il y a lieu de vérifier.</w:t>
      </w:r>
    </w:p>
    <w:p>
      <w:r>
        <w:rPr>
          <w:b/>
        </w:rPr>
        <w:t>E. 3.1.1</w:t>
      </w:r>
    </w:p>
    <w:p>
      <w:r>
        <w:t>L’art. 180 al. 1 CP (Code pénal suisse du 21 décembre 1937 ; RS 311.0) punit le comportement de celui qui, par une menace grave, aura alarmé ou effrayé une personne. Sur le plan objectif,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99 IV 212 consid. 2b ; TF 6B_192/2012 du 10 septembre 2012 consid. 1.1). En second lieu, il faut que la victime ait été effectivement alarmée ou effrayée. Subjectivement, l’auteur doit avoir eu l’intention non seulement de proférer des menaces graves, mais aussi d’alarmer ou d’effrayer le destinataire. Le dol éventuel suffit (TF 6B_1009/2014 du 2 avril 2015 consid. 3.1 ; TF 6B_598/2011 du 27 juillet 2012 consid. 1.1).</w:t>
      </w:r>
    </w:p>
    <w:p>
      <w:r>
        <w:rPr>
          <w:b/>
        </w:rPr>
        <w:t>E. 3.1.2</w:t>
      </w:r>
    </w:p>
    <w:p>
      <w:r>
        <w:t>Se rend coupable de contrainte au sens de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(ATF 101 IV 42 consid. 3a ; TF 6B_153/2017 du 28 novembre 2017 consid. 3.1), la menace est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 TF 6B_415/2018 du 20 septembre 2018 consid. 2.1.2), ni que l’auteur ait réellement la volonté de réaliser sa menace (ATF 105 IV 120 consid. 2a ; TF 6B_153/2017 du 28 novembre 2017 consid. 3.1).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JdT 1998 IV 109 ; ATF 120 IV 17 consid. 2a/aa ; TF 6B_153/2017 du 28 novembre 2017 consid. 3.1).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JdT 2017 IV 141 ; ATF 137 IV 326 consid. 3.3.1, JdT 2012 IV 279 ; TF 6B_153/2017 du 28 novembre 2017 consid. 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TF 6B_153/2017 du 28 novembre 2017 consid. 3.1).</w:t>
      </w:r>
    </w:p>
    <w:p>
      <w:r>
        <w:rPr>
          <w:b/>
        </w:rPr>
        <w:t>E. 3.1.3</w:t>
      </w:r>
    </w:p>
    <w:p>
      <w:r>
        <w:t>L’art. 182 al. 1 CP réprime la traite d’êtres humains et dispose notamment que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 Cette disposition protège l'autodétermination des personnes. Il y a traite d'êtres humains lorsque des personnes disposent d'autres êtres humains comme s'il s'agissait d'objets (Message du Conseil fédéral portant approbation du Protocole facultatif du 25 mai 2000 se rapportant à la Convention relative aux droits de l'enfant, concernant la vente d'enfants, la prostitution des enfants et la pornographie mettant en scène des enfants et sur la modification correspondante de la norme pénale relative à la traite d'êtres humains du 11 mars 2005, FF 2005 pp. 2639 ss, spéc. p. 2665 [ci-après : Message]), que ce soit sur un « marché » international ou intérieur (Trechsel/Mona, in : Trechsel/Pieth [éd.], Schweizerisches Strafgesetzbuch, Praxiskommentar, 3 e éd., Zurich 2017, n. 2 ad art. 182 CP). Pour que cette infraction soit réalisée, un seul acte suffit et peut ne concerner qu'une seule personne (TF 1B_450/2017 du 29 mars 2018 consid. 4.3.1 ; Trechsel/Mona, op. et loc. cit. ; Dupuis et al [éd.], Code pénal, Petit commentaire, 2 e éd., Bâle 2017, n. 14 ad art. 182 CP ; Corboz, Les infractions en droit suisse, 3 e éd., Berne 2010, n. 12 ad art. 182 CP ; Message, p. 2666). L’infraction est intentionnelle, le dol éventuel étant suffisant (Dupuis et al., op. cit., n. 24 ad art. 182 CP). S'agissant en particulier du comportement typique, on se trouve dans un cas de traite lorsque la victime – traitée comme une marchandise vivante (Trechsel/Mona, op. et loc. cit.) – est contrainte par la force, par la menace, par toute forme de pression, par un enlèvement, une fraude, une tromperie, un abus d'autorité ou en achetant la personne ayant autorité sur la victime ; il suffit que cette dernière soit dans une situation particulière de vulnérabilité, par exemple en étant isolée ou sans ressources dans un pays qui lui est étranger ; il faut ainsi examiner, en fonction des pressions exercées, si elle se trouve ou non en état de se déterminer librement (Corboz, op. cit., n. 7 ad art. 182 CP). Le fait de recruter des êtres humains, y compris pour sa propre entreprise, est assimilé à la traite (ATF 128 IV 117 consid. 6/d/cc ; Dupuis et al., op. cit., n. 15 ad art. 182 CP ; Corboz, op. cit., n. 4 ad art. 182 CP). Est déterminant le fait qu’un être humain soit considéré et traité comme une marchandise et susceptible de faire l’objet d’une transaction commerciale (Dupuis et al., op. cit., n. 12 ad art 182 CP et la réf. citée). Il y a exploitation du travail en cas de travail forcé, d'esclavage ou de travail effectué dans des conditions analogues à l'esclavage (TF 1B_450/2017 du 29 mars 2018 consid. 4.3.1). Tel est également le cas lorsqu'une personne est continuellement empêchée d'exercer ses droits fondamentaux en violation de la réglementation du travail ou des dispositions relatives à la rémunération, la santé et la sécurité sur le lieu de travail ; concrètement, il peut s'agir notamment de privation de nourriture, de maltraitance psychique, de chantage, d'isolement, de lésions corporelles, de violences sexuelles ou de menaces de mort (TF 1B_450/2017 du 29 mars 2018 consid. 4.3.1 ; Message, p. 2667).</w:t>
      </w:r>
    </w:p>
    <w:p>
      <w:r>
        <w:rPr>
          <w:b/>
        </w:rPr>
        <w:t>E. 3.2</w:t>
      </w:r>
    </w:p>
    <w:p>
      <w:r>
        <w:t>On relèvera d’abord que, si la recourante a bien déposé plainte pour menaces, elle n’invoque dans sa plainte aucun fait susceptible de répondre à cette définition. Cette infraction peut donc être d’emblée écartée. S’agissant d’une éventuelle contrainte, la recourante se plaint d’avoir été forcée à ingérer un médicament pour maigrir, importé du [...] par I.T.N________, ce qui lui aurait causé des problèmes d’hypertension. A cet égard, I.T.N________ a expliqué que lors d’un voyage au [...] en 2018, elle avait acheté un médicament naturel appelé « DIET + » afin de perdre un peu de poids. Lorsque V.________ aurait vu ces gélules, elle lui aurait demandé si elle pouvait en prendre car elle était en surpoids, ce qui la gênait et la complexait. I.T.N________ a contesté avoir forcé la recourante à prendre ce médicament (PV aud. 1, R. 5 p. 4). Quant à B.N.________, il a confirmé que personne n’avait jamais forcé V.________ à prendre le médicament en question, mais que cette dernière le prenait de son propre gré pour maigrir et pouvoir se marier (PV aud. 2, R. 6 p. 4). A ce stade, on ne décèle au dossier aucun indice de contrainte. La plaignante n’a notamment pas produit de certificat médical qui attesterait des problèmes de santé qu’elle dit avoir rencontrés en ingérant les gélules « DIET + ». En outre, les versions des parties apparaissent irrémédiablement contradictoires et on ne voit pas quelle mesure d’instruction permettrait de les départager. Dans ces circonstances, l’infraction de contrainte ne saurait être retenue. Enfin, la recourante se plaint d’avoir travaillé au service des époux N.________ sans avoir été rémunérée, ce qui aurait pourtant été convenu avant son arrivée. Là également, les versions des parties sont contradictoires dès lors que les époux N.________ contestent tous deux avoir accueilli V.________ dans leur foyer pour qu’elle y travaille (cf. PV aud. 1, R. 5 pp. 3-4 ; PV aud. 2, R. 5). Il n’existe manifestement aucun contrat de travail écrit et la lettre d’invitation établie par I.T.N________ ne fait aucune mention d’un emploi ou d’une rémunération (P. 5/3). En outre, il ressort tant des déclarations des diverses personnes entendues que des pièces au dossier que le séjour initial de la recourante au sein de la famille N.________ devait s’achever le 21 décembre 2018 (P. 5/3) et qu’elle devait quitter la Suisse au plus tard le 2 mars 2019, selon les billets d’avion retour réservés en même temps que les billets pour venir en Suisse (P. 5/2). Or, la plaignante est demeurée au domicile des époux N.________ jusqu’en mai 2019 – et non jusqu’à la fin du mois de juin 2019 comme elle le prétend – avant de se rendre chez G.________ à Genève. Enfin, ce n’est vraisemblablement que grâce à l’intervention du pasteur X.________ et de B.N.________, qui ont contacté le bureau d’aide au retour, que le départ de V.________ pour le [...] a pu être organisé. Ces éléments démontrent autant que de besoin que la recourante n’a pas fait l’objet d’une transaction commerciale et qu’elle n’a pas été contrainte de demeurer au sein du foyer des époux N.________ pour y travailler, étant restée de son propre gré en Suisse après l’échéance prévue. Les éléments constitutifs de l’infraction de traite d’êtres humains ne sont dès lors pas réalisés. La question du paiement d’un éventuel salaire est dès lors de nature purement civile.</w:t>
      </w:r>
    </w:p>
    <w:p>
      <w:r>
        <w:rPr>
          <w:b/>
        </w:rPr>
        <w:t>E. 4.1</w:t>
      </w:r>
    </w:p>
    <w:p>
      <w:r>
        <w:t>Selon l’art. 261bis al. 1 CP, se rend coupable de discrimination raciale celui qui, publiquement, aura incité à la haine ou à la discrimination envers une personne ou un groupe de personnes en raison de leur appartenance raciale, ethnique ou religieuse. Cette disposition protège essentiellement la dignité de l’homme en tant que membre d’une race, d’une ethnie ou d’une religion (ATF 131 IV 23 consid. 3, JdT 2006 IV 88 ; ATF 126 IV 120 consid. 1c ; ATF 124 IV 121 consid. 2c), mais également la paix publique, respectivement le respect et l’attention à l’égard d’autrui et de ses différences (ATF 130 IV 111 consid. 5.1, JdT 2005 IV 292 ; ATF 123 IV 202 consid. 2, JdT 1999 IV 34). Pour être punissable, la déclaration doit être publique. Il faut considérer comme public tout propos ou comportement qui n’a pas lieu dans le cadre privé. Sont considérés comme privés les propos qui ont lieu dans le cercle familial ou des amis ou dans un environnement de relations personnelles ou de confiance particulière (ATF 130 IV 111 consid. 5.2.1).</w:t>
      </w:r>
    </w:p>
    <w:p>
      <w:r>
        <w:rPr>
          <w:b/>
        </w:rPr>
        <w:t>E. 4.2</w:t>
      </w:r>
    </w:p>
    <w:p>
      <w:r>
        <w:t>La recourante reproche en l’occurrence aux époux N.________ de l’avoir traitée de « nègre » et de « nègre folle » et de s’être moquée d’elle en lui disant qu’elle avait des « hanches larges ». Il apparaît toutefois d’emblée que les éléments constitutifs de l’infraction de discrimination raciale ne sont pas réunis. En effet, même s’il fallait admettre que les propos prêtés aux époux N.________ avaient été tenus – ce que ces derniers contestent –, ils l’auraient été dans un cadre exclusivement privé et n’auraient aucun caractère public. L’infraction d’injure (art. 177 CP) aurait pu être envisagée. Toutefois, cette infraction ne se poursuit que sur plainte. Or, les propos litigieux, s’ils existent, ont en tout état de cause été tenus alors que la recourante vivait au sein du foyer des époux N.________, soit au plus tard en mai 2019. Déposée le 3 décembre 2019, soit plus de trois mois après les faits, la plainte de V.________ se révèle tardive.</w:t>
      </w:r>
    </w:p>
    <w:p>
      <w:r>
        <w:rPr>
          <w:b/>
        </w:rPr>
        <w:t>E. 5</w:t>
      </w:r>
    </w:p>
    <w:p>
      <w:r>
        <w:t>La recourante soutient enfin que B.N.________ et I.T.N________ se seraient rendus coupables d’incitation à l’entrée, à la sortie ou au séjour illégaux au sens de l’art. 116 LEI (Loi fédérale sur les étrangers et l’intégration du 16 décembre 2005 ; RS 142.20).</w:t>
      </w:r>
    </w:p>
    <w:p>
      <w:r>
        <w:rPr>
          <w:b/>
        </w:rPr>
        <w:t>E. 5.1</w:t>
      </w:r>
    </w:p>
    <w:p>
      <w:r>
        <w:t>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que le recourant soit atteint dans ses droits par effet réflexe (Calame, in CR CPP, op. cit., n. 2 ad art. 382 CPP ; Schmid/Jositsch, Praxiskommentar, Schweizerische Strafprozessordnung, 3 e éd., Zurich/St-Gall 2018, n. 2 ad art. 382 CPP). Celui-ci doit ainsi établir que la décision attaquée viole une règle de droit qui a pour but de protéger ses intérêts et qu’il peut par conséquent en déduire un droit subjectif. L’intérêt doit donc être personnel (ATF 131 IV 191 consid. 1.2 ; JdT 2015 III 256).</w:t>
      </w:r>
    </w:p>
    <w:p>
      <w:r>
        <w:rPr>
          <w:b/>
        </w:rPr>
        <w:t>E. 5.2</w:t>
      </w:r>
    </w:p>
    <w:p>
      <w:r>
        <w:t>La recourante ne peut en l’occurrence faire valoir aucun intérêt juridiquement protégé à la modification de l’ordonnance entreprise sur la question d’une éventuelle infraction à la LEI, puisqu’elle n’apparaît pas directement et concrètement lésée par la décision de ne pas poursuivre les époux N.________ pour une telle infraction. N’ayant pas qualité pour recourir, son recours sur ce point est irrecevable.</w:t>
      </w:r>
    </w:p>
    <w:p>
      <w:r>
        <w:rPr>
          <w:b/>
        </w:rPr>
        <w:t>E. 6</w:t>
      </w:r>
    </w:p>
    <w:p>
      <w:r>
        <w:t>Il résulte de ce qui précède que le recours, manifestement mal fondé, doit être rejeté sans échange d’écritures (art. 390 al. 2 CPP), dans la mesure de sa recevabilité (cf. consid. 5.2 ci-dessus), et l’ordonnance entreprise confirmée. La requête d’assistance judiciaire doit être rejetée, dès lors que le recours était d’emblée dénué de chance de succès et que l’éventuelle action civile de V.________ était donc vouée à l’échec (art. 136 al. 1 let. b CPP ; CREP 29 avril 2019/343 consid. 4 et les réf. citées). Les frais de la procédure de recours, constitués en l’espèce du seul émolument d’arrêt (art. 422 al. 1 CPP), par 1'320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15 avril 2020 est confirmée. III. La requête d’assistance judiciaire gratuite pour la procédure de recours est rejetée. IV. Les frais d’arrêt, par 1'320 fr. (mille trois cent vingt francs), sont mis à la charge de V.________. V. L’arrêt est exécutoire. Le président : La greffière : Du Le présent arrêt, dont la rédaction a été approuvée à huis clos, est notifié, par l'envoi d'une copie complète, à : - Me Liza Sant’Ana Lima, avocate (pour V.________), - M. B.N.________, - Mme I.T.N________, - Ministère public central, et communiqué à : - M. le Procureur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