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53 vom 1. November 2019</w:t>
      </w:r>
    </w:p>
    <w:p>
      <w:r>
        <w:t>VD Tribunal cantonal, 2019-11-01, FR</w:t>
      </w:r>
    </w:p>
    <w:p>
      <w:r>
        <w:rPr>
          <w:b/>
        </w:rPr>
        <w:t xml:space="preserve">Quelle: </w:t>
      </w:r>
      <w:r>
        <w:t>https://mcp.opencaselaw.ch/entscheid/vd_findinfo_D_cision___2020___53</w:t>
      </w:r>
    </w:p>
    <w:p>
      <w:r>
        <w:t>FR: VD_FINDINFO Décision / 2020 / 53 du 1 novembre 2019</w:t>
      </w:r>
    </w:p>
    <w:p>
      <w:r>
        <w:t>IT: VD_FINDINFO Décision / 2020 / 53 del 1 novembre 2019</w:t>
      </w:r>
    </w:p>
    <w:p>
      <w:pPr>
        <w:pStyle w:val="Heading2"/>
      </w:pPr>
      <w:r>
        <w:t>Regeste</w:t>
      </w:r>
    </w:p>
    <w:p>
      <w:r>
        <w:t>CLASSEMENT DE LA PROCÉDURE, TESTAMENT, FAUX MATÉRIEL DANS LES TITRES, USAGE DE FAUX{DROIT PÉNAL}, ASSISTANCE JUDICIAIRE | 146 CP, 157 CP, 181 CP, 251 CP, 136 CPP (CH), 319 al. 1 CPP (CH), 6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En l’espèce, interjeté en temps utile devant l’autorité compétente, par des parties qui ont qualité pour recourir (art. 382 al. 1 CPP), et satisfaisant aux conditions de forme prescrites (art. 385 al. 1 CPP), le recours est recevable.</w:t>
      </w:r>
    </w:p>
    <w:p>
      <w:r>
        <w:rPr>
          <w:b/>
        </w:rPr>
        <w:t>E. 2.1</w:t>
      </w:r>
    </w:p>
    <w:p>
      <w:r>
        <w:t>Les recourants invoquent une violation du principe « in dubio pro duriore » et de leur droit d’être entendu, leurs réquisitions de preuve – tendant à l’audition de deux témoins et à la production du dossier administratif et médical de la défunte par l’EMS dans lequel elle résidait à son décès – ayant été écartées selon eux à tort par le Procureur. Ils soutiennent qu’une influence de C.________ ne pourrait pas être exclue et que, de même, une incapacité de discernement de la défunte ne pourrait pas être écartée, compte tenu de son grand âge et de son état de santé au moment de rédiger les testaments en faveur de la prévenue. Quant à l’avis du Dr H.________, médecin-traitant de la défunte, il ne serait pas probant, celui-ci étant proche de la prévenue.</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6B_116/2019 du 11 mars 2019 consid. 2.1).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11 octobre 2019 consid. 2.2.1 ; CREP 10 mai 2016/305 et les références citées).</w:t>
      </w:r>
    </w:p>
    <w:p>
      <w:r>
        <w:rPr>
          <w:b/>
        </w:rPr>
        <w:t>E. 2.2.2</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inquisitoire, selon laquelle le ministère public doit adopter un comportement actif, à savoir rechercher lui-même les faits, d’office et en toute indépendance, dans le but de former son intime conviction et d’établir la vérité matérielle. Cette maxime n’oblige pas le magistrat à administrer d’office de nouvelles preuves lorsqu’il a déjà formé son opinion sur la base du dossier et parvient à la conclusion que les preuves en question ne sont pas décisives pour la solution du litige ou ne pourraient pas l’amener à modifier son opinion.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Petit Commentaire du Code de procédure pénale, 2 e éd., Bâle 2016, nn. 4 et 8 ad art. 6 CPP et les références citées). Conformément à la maxime de l’instruction, les autorités pénales mettent en œuvre tous les moyens de preuves licites qui, selon l'état des connaissances scientifiques et l'expérience, sont propres à établir la vérité (art. 139 al. 1 CPP).</w:t>
      </w:r>
    </w:p>
    <w:p>
      <w:r>
        <w:rPr>
          <w:b/>
        </w:rPr>
        <w:t>E. 2.2.3</w:t>
      </w:r>
    </w:p>
    <w:p>
      <w:r>
        <w:t>Réprimant le faux dans les titres, l'art. 251 CP prévoit que sera puni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constater ou fait constater faussement, dans un titre, un fait ayant une portée juridique, ou aura, pour tromper autrui, fait usage d'un tel titre (ch. 1). Les infractions du droit pénal relatives aux titres protègent la confiance qui, dans les relations juridiques, est placée dans un titre comme moyen de preuve. C'est pourquoi la loi considère comme titres les écrits destinés et propres à prouver un fait ayant une portée juridique et tous les signes destinés à prouver un tel fait (art. 110 ch. 4 CP). La notion de titre est définie par l'art. 110 al. 4 CP, qui prévoit que sont notamment réputés titres tous écrits destinés et propres à prouver un fait ayant une portée juridique (Corboz, Les infractions en droit suisse, vol. II, 3 e éd. Berne 2010, nn. 15 et 24 ad art. 251 CP). La caractéristique essentielle du titre est qu'il doit être objectivement en mesure de prouver tout ou partie de ce qu'il exprime ; autrement dit, sa lecture doit fonder la conviction. L'aptitude à servir de preuve résulte de la loi ou des usages commerciaux (ATF 120 IV 361 consid. 2a). Le fait que le titre doive être en mesure de prouver doit en outre avoir une portée juridique ; le titre doit ainsi convaincre d'un fait dont dépend notamment la naissance, l'existence, la modification, l'extinction ou la modification d'un droit ; autrement dit, le fait doit être de nature à modifier la solution apportée à un problème juridique (Corboz, op. cit., nn. 20 et 27 ad art. 251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138 IV 130 consid. 2.1, JdT 2013 IV 46). Un simple mensonge écrit ne constitue cependant pas un faux intellectuel. Le document doit revêtir une crédibilité accrue et son destinataire pouvoir s'y fier raisonnablement (ATF 142 IV 119 consid. 2.1 ; ATF 138 IV 130 consid. 2.1 ; ATF 132 IV 12 consid. 8.1). Du point de vue subjectif, le faux dans les titres est une infraction intentionnelle. L'intention doit porter sur tous les éléments constitutifs de l'infraction, le dol éventuel étant suffisant. De surcroît, l'art. 251 CP exige un dessein spécial, à savoir que l'auteur agisse afin de porter atteinte aux intérêts pécuniaires ou aux droits d'autrui ou de se procurer ou de procurer à un tiers un avantage illicite (TF 6B_891/2018 du 31 octobre 2018 consid. 3.5.1). La notion d'avantage illicite est très large. Elle vise toute type d'avantage, d'ordre matériel ou immatériel, qui peut être destiné à l'auteur lui-même ou à un tiers (ATF 129 IV 53 consid. 3.5 ; TF 6B_891/2018 du 31 octobre 2018 consid. 3.5.1 ; TF 6B_116/2017 du 9 juin 2017 consid. 2.2.3). Le caractère illicite de l'avantage peut découler du droit suisse ou du droit étranger (Trechsel/Erni, Schweizerisches Strafgesetzbuch, Praxiskommentar, Trechsel/Pieth [éd.], 3 e éd., 2018, n° 16 ad art. 251 CP) et ne requiert ni que l'auteur ait l'intention de porter préjudice, ni que l'obtention d'un avantage soit punissable au titre d'une autre infraction (ATF 129 IV 53 consid. 3.3).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(ATF 128 IV 265 consid. 2.2 ; TF 6B_891/2018 du 31 octobre 2018 consid. 3.5.1 ; TF 6B_116/2017 précité consid. 2.2.3).</w:t>
      </w:r>
    </w:p>
    <w:p>
      <w:r>
        <w:rPr>
          <w:b/>
        </w:rPr>
        <w:t>E. 2.2.4</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 éléments constitutifs objectifs de l’escroquerie sont une tromperie – qui peut être effectuée sous la forme d’affirmations fallacieuses, d’une dissimulation de faits vrais ou encore en confortant autrui dans son erreur –, une astuce, une induction en erreur, un acte de disposition, un dommage et un lien de causalité entre les éléments qui précèdent. Sur le plan subjectif, l’infraction requiert l’intention et un dessein d’enrichissement illégitime pour soi-même ou pour un tiers (Dupuis et al. [éd.], Petit commentaire du Code pénal, 2 e éd., Bâle 2017, nn. 1 et 2, ad art. 146 CP).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 5.2).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 plus récemment : TF 6B_898/2017 du 8 mars 2018 consid. 3.2). 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 principe que l'état de fait présenté par l'auteur était correct (ATF 118 IV 35 consid. 2c ; TF 6B_150/2017 du 11 janvier 2018 consid. 3.3, non publié aux ATF 144 IV 52).</w:t>
      </w:r>
    </w:p>
    <w:p>
      <w:r>
        <w:rPr>
          <w:b/>
        </w:rPr>
        <w:t>E. 2.2.5</w:t>
      </w:r>
    </w:p>
    <w:p>
      <w:r>
        <w:t>Se rend coupable de contrainte, au sens de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(TF 6B_415/2018 du 20 septembre 2018 consid. 2.1.2 ; ATF 101 IV 42 consid. 3a), la menace est un moyen de pression psychologique consistant à annoncer un dommage futur dont la réalisation est présentée comme dépendante de la volonté de l'auteur, sans toutefois qu'il soit nécessaire que cette dépendance soit effective (TF 6B_415/2018 précité consid. 2.1.2 ; ATF 117 IV 445 consid. 2b ; ATF 106 IV 125 consid. 2a) ni que l'auteur ait réellement la volonté de réaliser sa menace (TF 6B_415/2018 précité consid. 2.1.2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(TF 6B_415/2018 précité consid. 2.1.2 ;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(TF 6B_153/2017 du 28 novembre 2017 consid. 3.1 ; ATF 141 IV 437 consid. 3.2.1 ; ATF 137 IV 326 consid. 3.3.1). Selon la jurisprudence, la contrainte n'est contraire au droit que si elle est illicite (ATF 120 IV 17 consid. 2a et les arrêts cités ; TF 6B_415/2018 précité consid. 2.1.3),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120 IV 17 consid. 2a/bb ; TF 6B_415/2018 du 20 septembre 2018 consid. 2.1.3).</w:t>
      </w:r>
    </w:p>
    <w:p>
      <w:r>
        <w:rPr>
          <w:b/>
        </w:rPr>
        <w:t>E. 2.2.6</w:t>
      </w:r>
    </w:p>
    <w:p>
      <w:r>
        <w:t>Réprimant l'usure, l'art. 157 ch. 1 CP rend punissable celui qui exploite la capacité de jugement déficiente d'une personne en se faisant accorder par elle, pour lui-même ou pour un tiers, en échange d'une prestation, des avantages pécuniaires en disproportion évidente avec cette prestation sur le plan économique. Selon la jurisprudence, il résulte du libellé « en échange d'une prestation » que cette disposition pénale ne vise pas celui qui, même en exploitant la capacité de jugement déficiente d'autrui, se fait accorder des avantages pécuniaires sans lui-même accorder de contrepartie. En particulier, celui qui capte une donation ne commet pas le crime d'usure, et son acte n'est pas non plus punissable à un autre titre, parce qu'il ne fournit lui-même aucune prestation (ATF 142 IV 341 consid. 2). L’usure ne peut ainsi intervenir que dans le cadre de contrats onéreux, si bien qu’elle est exclue en matière d’actes unilatéraux et gratuits, tels par exemple la donation ou le testament (cf. Hurtado Pozo, Droit pénal, partie spéciale, Zürich 2009, n. 1457 s. §51, p. 431).</w:t>
      </w:r>
    </w:p>
    <w:p>
      <w:r>
        <w:rPr>
          <w:b/>
        </w:rPr>
        <w:t>E. 2.3</w:t>
      </w:r>
    </w:p>
    <w:p>
      <w:r>
        <w:t>En l’espèce, les recourants énoncent des généralités sur le discernement, en se référant à de la jurisprudence rendue en matière de validité des testaments en droit civil, mais n’indiquent pas quelle infraction la prévenue aurait pu commettre. L’infraction de faux dans les titres peut être exclue, la dernière expertise ayant conclu que le testament du 21 septembre 2009 gratifiant la prévenue était, à l’instar de celui du 17 novembre 2004 gratifiant le père des recourants et, à son décès, les recourants, de la main de la testatrice (P. 75/1). Les recourants ne soutiennent du reste pas que la prévenue aurait commis un faux dans les titres. S’agissant de l’infraction d’escroquerie, celle-ci doit également être exclue. A défaut de titre faux qui aurait servi à élaborer une astuce, on ne voit pas en quoi une telle infraction pourrait être réalisée. Les recourants ne soutiennent au demeurant pas que la prévenue se serait rendue coupable d’escroquerie, voire de tentative d’escroquerie et a fortiori , n’exposent pas ce qui pourrait constituer une astuce. Les recourants n’invoquent pas non plus l’infraction de contrainte. Ils ne prétendent pas que la prévenue aurait usé de violence envers la défunte, ni qu’elle l’aurait menacée d’un dommage sérieux, ni qu’elle l’aurait entravée d’une autre manière dans sa liberté, mais tout au plus que la prévenue aurait pu influencer la testatrice. Du reste, une telle influence et a fortiori des pressions peuvent être exclues sur la base du témoignage du Dr H.________, médecin-traitant de la défunte, comme l’a fait le Procureur. Ce témoin, qui a été son médecin-traitant pendant les vingt dernières années de sa vie et qui était médecin au sein de l’EMS où elle a séjourné durant les dix dernières années de sa vie et qui, à ce titre, lui rendait visite une fois par semaine, a répondu très clairement à la question du conseil des recourants de savoir si elle aurait pu être influencée dans ses actes et décisions, en particulier à la fin de sa vie. Il a notamment déclaré ce qui suit : « Mme B.________ était une personne très peu influençable. Elle avait un caractère déterminé. J’ai parfois même regretté qu’elle ne soit pas plus influençable. J’ai le sentiment que j’aurais peut-être pu mieux la soigner » (PV aud. 5, ll 113 à 118). En particulier, il a indiqué qu’en dépit de débuts de troubles mnésiques, sa patiente « allait très bien » et a été « capable de discernement jusqu’à son décès » (ll. 33 à 35 et 130 à 133) ; « elle rencontrait sur la fin de sa vie des troubles de la mémoire, mais cela n’affectait pas sa capacité de discernement » (l. 35). Quant à la question du conseil des recourants sur le point de savoir si B.________ avait pu être influencée, voire manipulée par la prévenue, il a derechef été clair : « Je réponds que, en mon âme et conscience, je n’en ai pas le sentiment. Je dis cela en connaissant à la fois Mme C.________ et Mme B.________ » (ll. 119 à 121). Certes, les recourants essaient de remettre en cause le caractère probant de ce témoignage en invoquant que le Dr H.________ et la Dresse C.________ seraient « proches », étant tous deux médecins. Le Dr H.________ s’est expliqué sur les liens qu’il entretenait avec sa consœur et rien ne permet de penser qu’il y aurait entre eux une proximité qui pourrait mettre en doute la véracité de ses déclarations. Il a déclaré qu’il s’agissait d’une consœur qu’il rencontrait à des congrès. A cet égard, entendu le 23 novembre 2015, il a précisé que la dernière fois qu’il l’avait vue, c’était à un congrès en septembre 2014 et qu’il la connaissait davantage en tant qu’amie de sa patiente décédée, B.________ lui ayant souvent parlé d’elle. Il a encore précisé que sa patiente lui était reconnaissante des bons services qu’elle lui rendait et qu’une affection mutuelle existait entre les deux femmes (PV aud. 5, ll. 41 à 56). Dans ces conditions, l’infraction de contrainte – qui n’est du reste pas invoquée par les recourants – peut être écartée avec une vraisemblance confinant à la certitude. Quant à l’usure, comme déjà indiqué (cf. supra , consid. 2.2.6), elle ne peut être réalisée dans le cadre d’un testament, acte unilatéral, dès lors que le droit civil offre une protection suffisante à cet égard. Au vu de ce qui précède, on ne constate aucune violation du principe « in dubio pro duriore ». Aussi, on ne voit pas qu’une instruction complémentaire doive avoir lieu, celle-ci ne pouvant déboucher sur une mise en cause de C.________. Le droit des recourants à être entendus n’a par conséquent pas non plus pu été violé.</w:t>
      </w:r>
    </w:p>
    <w:p>
      <w:r>
        <w:rPr>
          <w:b/>
        </w:rPr>
        <w:t>E. 3</w:t>
      </w:r>
    </w:p>
    <w:p>
      <w:r>
        <w:t>En définitive, le recours, manifestement mal fondé, doit être rejeté sans échange d’écritures (art. 390 al. 2 CPP) et l’ordonnance de classement du 13 août 2019 doit être confirmée.</w:t>
      </w:r>
    </w:p>
    <w:p>
      <w:r>
        <w:rPr>
          <w:b/>
        </w:rPr>
        <w:t>E. 4.1</w:t>
      </w:r>
    </w:p>
    <w:p>
      <w:r>
        <w:t>C.X.________ sollicite l’octroi de l’assistance judiciaire gratuite.</w:t>
      </w:r>
    </w:p>
    <w:p>
      <w:r>
        <w:rPr>
          <w:b/>
        </w:rPr>
        <w:t>E. 4.2</w:t>
      </w:r>
    </w:p>
    <w:p>
      <w:r>
        <w:t>Selon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Aux termes de l'art. 136 al. 2 CPP, l'assistance judiciaire comprend : l'exonération d'avances de frais et de sûretés (let. a), l'exonération des frais de procédure (let. b) et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1B_151/2016 du 1 er juin 2016 consid. 2.2). Le législateur a sciemment limité l'octroi de l'assistance judiciaire aux cas où le plaignant peut faire valoir des prétentions civiles (TF 1B_151/2016 précité). Il a ainsi tenu compte du fait que le monopole de la justice répressive est par principe exercé par l'Etat, de sorte que l'assistance judiciaire de la partie plaignante se justifie en priorité pour que celle-ci puisse défendre ses conclusions civiles (cf. Message du 21 décembre 2005 relatif à l'unification du droit de la procédure pénale, FF 2006 p. 1160 ; TF 1B_314/2016 du 28 septembre 2016 consid. 2.1). L'art.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(TF 1B_151/2016 précité ; TF 6B_458/2015 du 16 décembre 2015 consid. 4.3.3 et les références citées).</w:t>
      </w:r>
    </w:p>
    <w:p>
      <w:r>
        <w:rPr>
          <w:b/>
        </w:rPr>
        <w:t>E. 4.3</w:t>
      </w:r>
    </w:p>
    <w:p>
      <w:r>
        <w:t>En l’espèce, C.X.________ n’a pas porté plainte contre C.________, mais uniquement contre A.S.________. Il ne peut donc pas faire valoir de prétentions civiles contre la prévenue dans le cadre de la procédure pénale, de sorte que la condition de l’art. 136 al. 1 let. b CPP n’est pas remplie. C’est dans le cadre de la procédure civile en contestation de la validité des testaments (cf. art. 519 ss CC) que le requérant, à l’instar de son frère et de sa sœur, pourrait actionner C.________, respectivement la personne qui tire des avantages successoraux des dispositions qui seraient invalidées (cf. Bonhet, Actions civiles, 2 e éd., vol. I, nn 18 ss et 23 ss ad § 32, pp 425 ss et les réf. cit.). Il s’ensuit que sa requête tendant à l’octroi de l’assistance judiciaire gratuite doit être rejetée.</w:t>
      </w:r>
    </w:p>
    <w:p>
      <w:r>
        <w:rPr>
          <w:b/>
        </w:rPr>
        <w:t>E. 5</w:t>
      </w:r>
    </w:p>
    <w:p>
      <w:r>
        <w:t>Les frais de la procédure de recours, constitués en l'espèce du seul émolument d'arrêt, par 2’090 fr. (art. 422 al. 1 CPP et 20 al. 1 TFIP [tarif des frais de procédure et indemnités en matière pénale du 28 septembre 2010 ; BLV 312.03.1]), seront mis à la charge des recourants, qui succombent (art. 428 al. 2 let. a CPP), solidairement entre eux. Par ces motifs, la Chambre des recours pénale prononce : I. Le recours est rejeté. II. L’ordonnance du 13 août 2019 est confirmée. III. La requête d’assistance judiciaire de C.X.________ est rejetée. IV. Les frais d’arrêt, par 2’090 fr. (deux mille nonante francs), sont mis à la charge des recourants A.X.________, B.X.________ et C.X.________, solidairement entre eux. V. L’arrêt est exécutoire. Le président :               La greffière : Du Le présent arrêt, dont la rédaction a été approuvée à huis clos, est notifié, par l'envoi d'une copie complète, à : - Me Antoine Eigenmann, avocat (pour A.X.________, B.X.________ et C.X.________), - Ministère public central, et communiqué à : - M. le Procureur cantonal Strada, - Me Violaine Jaccottet Sherif, avocate (pour B.S.________), - Me Elie Elkaim, avocat (pour A.S.________), - Me Christian Fischer, avocat (pour C.________),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