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518 vom 6. Juli 2020</w:t>
      </w:r>
    </w:p>
    <w:p>
      <w:r>
        <w:t>VD Tribunal cantonal, 2020-07-06, FR</w:t>
      </w:r>
    </w:p>
    <w:p>
      <w:r>
        <w:rPr>
          <w:b/>
        </w:rPr>
        <w:t xml:space="preserve">Quelle: </w:t>
      </w:r>
      <w:r>
        <w:t>https://mcp.opencaselaw.ch/entscheid/vd_findinfo_D_cision___2020___518</w:t>
      </w:r>
    </w:p>
    <w:p>
      <w:r>
        <w:t>FR: VD_FINDINFO Décision / 2020 / 518 du 6 juillet 2020</w:t>
      </w:r>
    </w:p>
    <w:p>
      <w:r>
        <w:t>IT: VD_FINDINFO Décision / 2020 / 518 del 6 luglio 2020</w:t>
      </w:r>
    </w:p>
    <w:p>
      <w:pPr>
        <w:pStyle w:val="Heading2"/>
      </w:pPr>
      <w:r>
        <w:t>Regeste</w:t>
      </w:r>
    </w:p>
    <w:p>
      <w:r>
        <w:t>DÉTENTION PROVISOIRE, PROPORTIONNALITÉ, RISQUE DE RÉCIDIVE | 212 al. 3 CPP (CH),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dans le délai légal par un détenu qui a qualité pour recourir (art. 222 et 382 al. 1 CPP) et dans les formes prescrites (art. 385 al. 1 CPP), le recours est recevable.</w:t>
      </w:r>
    </w:p>
    <w:p>
      <w:r>
        <w:rPr>
          <w:b/>
        </w:rPr>
        <w:t>E. 2.1</w:t>
      </w:r>
    </w:p>
    <w:p>
      <w:r>
        <w:t>Le recourant fait valoir une violation de son droit d’être entendu. Il expose que ses déterminations du 5 juin 2020 n’ont pas été prises en compte malgré le fait qu’il les aurait déposées dans le délai imparti, et malgré le fait qu’une copie de cette écriture avait été adressée par e-fax le 10 juin 2020 au Tribunal des mesures de contrainte suite à un téléphone du même jour avec le greffe de cette autorité. Il sollicite l’annulation de la décision attaquée.</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w:t>
      </w:r>
    </w:p>
    <w:p>
      <w:r>
        <w:rPr>
          <w:b/>
        </w:rPr>
        <w:t>E. 2.3</w:t>
      </w:r>
    </w:p>
    <w:p>
      <w:r>
        <w:t>En l’espèce, on peut donner acte au recourant du fait que le Tribunal des mesures de contrainte n’a pas discuté les éléments exposés dans ses déterminations du 5 juin 2020, et pour cause : celles-ci ne lui étant parvenues, par e-fax, que le 10 juin 2020, puis par courrier le 18 juin 2020, soit après que l’ordonnance attaquée avait été rendue. Ce retard est vraisemblablement imputable à un mauvais acheminement postal puisque le sceau postal figurant sur l’enveloppe d’envoi mentionne la date du 5 juin 2020. Quoi qu’il en soit, le recourant a eu la faculté de faire valoir ses moyens devant une autorité de recours disposant d’un plein pouvoir d'examen, de sorte que le vice formel allégué peut être considéré comme réparé en procédure de recours. De toute manière, afin de garantir un bon acheminement de ses déterminations, le recourant, par son défenseur, aurait sans doute été plus avisé d’opter pour un envoi recommandé, plutôt que de reprocher au premier juge de ne pas avoir tenu compte d’une écriture non reçue à temps par celui-ci. Le moyen doit être rejeté.</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3.3</w:t>
      </w:r>
    </w:p>
    <w:p>
      <w:r>
        <w:t>et les références citées), l’existence d’un risque de réitération dispense la Cour de céans d’examiner si la détention provisoire de Z.________ s’impose également en raison de l’existence d’un risque de collusion ou de fuite.</w:t>
      </w:r>
    </w:p>
    <w:p>
      <w:r>
        <w:rPr>
          <w:b/>
        </w:rPr>
        <w:t>E. 4.1</w:t>
      </w:r>
    </w:p>
    <w:p>
      <w:r>
        <w:t>Le recourant ne conteste pas, à juste titre, l’existence d'indices de culpabilité suffisants. Il conteste cependant l’existence d’un risque de réitération. Z.________ fait valoir que le Tribunal des mesures de contrainte n’aurait pas pris en compte l’effet de sa détention actuelle avant de se rallier à l’appréciation du risque de récidive invoqué par le Ministère public sur la base de la seule énumération de son activité délictueuse. Il soutient que les déclarations qui avaient fondé une précédente appréciation similaire étaient consécutives à un état de choc lié à la mise en détention et ne devraient plus être prises en compte eu égard à l’amendement durant la détention, survenu dans l’intervalle.</w:t>
      </w:r>
    </w:p>
    <w:p>
      <w:r>
        <w:rPr>
          <w:b/>
        </w:rPr>
        <w:t>E. 4.2</w:t>
      </w:r>
    </w:p>
    <w:p>
      <w:r>
        <w:t>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w:t>
      </w:r>
    </w:p>
    <w:p>
      <w:r>
        <w:rPr>
          <w:b/>
        </w:rPr>
        <w:t>E. 4.3</w:t>
      </w:r>
    </w:p>
    <w:p>
      <w:r>
        <w:t>En l’occurrence, on relèvera qu’entre 2002 et 2010, le prévenu a été condamné à deux reprises à un placement dans un établissement pour toxicomanes, respectivement à une mesure institutionnelle, abrogée le 22 septembre 2016. Depuis octobre 2018, malgré ses précédentes condamnations et ses différentes auditions par la police, le prévenu a persisté dans la délinquance en commettant diverses infractions. Le 11 octobre 2019, Z.________ a été entendu par la procureure sur les faits qui lui étaient reprochés. Quelques jours plus tard, deux nouveaux rapports d’investigations étaient versés au dossier pour, respectivement, vol et tentative d’utilisation frauduleuse d’un ordinateur pour des faits survenus à Lausanne en octobre 2019. Par la suite, Z.________ aurait continué ses agissements, notamment en commettant des cambriolages à Genève en novembre 2019. En outre une nouvelle plainte a été déposée au dossier pour vol pour des faits survenus à l’Hôpital de Prangins le 26 novembre 2019. Le prévenu a en outre déclaré lors de son audition d’arrestation que s’il devait rester en Suisse, il y avait un très grand risque qu’il commette à nouveau des infractions ou des vols car il n’avait pas d’argent. Au vu de ces éléments, le risque de réitération apparaît tel que l’intérêt à la sécurité publique prévaut, le prévenu ayant prouvé par l’acte qu’il ne pouvait pas s’empêcher de commettre des actes délictueux. Le fait que ses déclarations durant son audition d’arrestation auraient, comme il le soutient, été faites alors qu’il était en état de choc, n’y change donc rien.</w:t>
      </w:r>
    </w:p>
    <w:p>
      <w:r>
        <w:rPr>
          <w:b/>
        </w:rPr>
        <w:t>E. 4.5</w:t>
      </w:r>
    </w:p>
    <w:p>
      <w:r>
        <w:t>Les conditions de l’art. 221 al. 1 CPP étant alternatives (CREP 5 mai 2020/331 consid.</w:t>
      </w:r>
    </w:p>
    <w:p>
      <w:r>
        <w:rPr>
          <w:b/>
        </w:rPr>
        <w:t>E. 5.1</w:t>
      </w:r>
    </w:p>
    <w:p>
      <w:r>
        <w:t>Le recourant fait ensuite valoir une violation du principe de la proportionnalité. Il expose que si le nombre de faits qui lui sont reprochés peut paraître conséquent, pris individuellement ils seraient de peu de gravité. Il expose encore qu’il a admis la quasi-totalité des faits au cours de ses diverses auditions et qu’il a accepté le principe du remboursement des montants dont il a spolié ses victimes. Sur cette base, le recourant estime que le juge amené à connaître du dossier devrait prononcer une peine de l’ordre d’un an à un an et demi. Z.________ met ensuite en avant le fait qu’au vu de sa situation psychique, sa responsabilité devra être qualifiée de fortement restreinte, ce qui pourrait atténuer la peine prévisible qui serait prononcée en cas de condamnation. Pour cela, il s’appuie sur les expertises psychiatriques auxquelles il a été soumis dans le cadre d’autres procédures, rendues le 30 juillet 2002 par le Dr Baleydier, le 20 décembre 2004 par les Drs Gasser et Delacrausaz, et le 2 décembre 2015 par les Drs Ghita et Giannakopoulos.</w:t>
      </w:r>
    </w:p>
    <w:p>
      <w:r>
        <w:rPr>
          <w:b/>
        </w:rPr>
        <w:t>E. 5.2.1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5.2.2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rPr>
          <w:b/>
        </w:rPr>
        <w:t>E. 5.2.3</w:t>
      </w:r>
    </w:p>
    <w:p>
      <w:r>
        <w:t>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(TF 1B_178/2016 du 7 juin 2016 consid. 4.2 ; ATF 126 I 172 consid. 5e p. 178 ; TF 1B_291/2014 du 8 septembre 2014 consid. 3.2; TF 1B_524/2011 du 13 octobre 2011 consid. 3.1 ; TF 1B_281/2009 du 19 octobre 2009 consid. 3.1-3.2 ; TF 1B_165/2009 du 30 juin 2009 consid. 4.3-4.4 ; CREP 23 août 2016/556). A teneur de l’art. 59 al. 4 CP, la privation de liberté entraînée par le traitement institutionnel ne peut en règle générale excéder cinq ans.</w:t>
      </w:r>
    </w:p>
    <w:p>
      <w:r>
        <w:rPr>
          <w:b/>
        </w:rPr>
        <w:t>E. 5.3.1</w:t>
      </w:r>
    </w:p>
    <w:p>
      <w:r>
        <w:t>En l’espèce, il n’est pas contesté que Z.________ souffre de troubles mentaux. Les expertises qu’il cite, à savoir celle réalisée par le Dr Baleydier du 30 juillet 2002, qui constate que ses troubles mentaux ne lui permettaient aucunement d’apprécier le caractère illicite de ses actes ni de se déterminer d’après cette appréciation, celle réalisée par les Drs Gasser et Delacrausaz du 20 décembre 2004, qui constate un état d’irresponsabilité pénale en raison des troubles qui l’affectent, et enfin celle établie par les Drs Ghita et Giannakopoulos du 2 décembre 2015, qui confirme que la situation mentale de l’intéressé n’a pas évolué et que seul un suivi thérapeutique sous forme d’un accompagnement soutenu dans un établissement spécialisé dans la prise en charge de troubles psychiques chroniques est propre à faire évoluer sa situation, laissent sérieusement penser qu’une mesure entraînant une privation de liberté pourrait être prononcée par le juge du fond. Une expertise psychiatrique est par ailleurs actuellement en cours et un rapport devrait être rendu dans un délai prolongé au 27 août 2020. Comme on l’a vu, la prolongation de la détention provisoire respecte le principe de la proportion­nalité lorsqu’il faut sérieusement compter avec une mesure entraînant une privation de liberté dont l’exécution complète pourrait durer sensiblement plus longtemps que la détention avant jugement subie jusqu’alors. Au vu des antécédents du recourant et des différentes expertises psychiatriques déjà rendues, il est vraisemblable que le juge du fond prononce une telle mesure à l’encontre de Z.________. Dans ces circonstances, le maintien du recourant en détention provisoire pour la durée de trois mois ordonnée demeure clairement conforme au principe de la proportionnalité.</w:t>
      </w:r>
    </w:p>
    <w:p>
      <w:r>
        <w:rPr>
          <w:b/>
        </w:rPr>
        <w:t>E. 5.3.2</w:t>
      </w:r>
    </w:p>
    <w:p>
      <w:r>
        <w:t>La prise en charge en milieu hospitalier proposée par le recourant à titre de mesure de substitution ne paraît en l’état pas à même de pallier adéquatement et efficacement le risque retenu, dans la mesure où le prévenu séjournait déjà au moment des faits reprochés dans un hôpital psychiatrique. On ne voit par ailleurs pas d’autres mesures de substitution qui pourraient être prononcées à ce stade et la détention est la seule mesure permettant de limiter le risque retenu, à tout le moins dans l’attente des résultats de l’expertise en cours. Au surplus, le Service de médecine et psychiatrie pénitentiaire est apte à prodiguer au recourant les soins dont il aurait besoin.</w:t>
      </w:r>
    </w:p>
    <w:p>
      <w:r>
        <w:rPr>
          <w:b/>
        </w:rPr>
        <w:t>E. 6</w:t>
      </w:r>
    </w:p>
    <w:p>
      <w:r>
        <w:t>Vu ce qui précède, le recours de Z.________ doit être rejeté et l'ordonnance attaquée confirmée.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720 fr., auxquels il convient d’ajouter des débours forfaitaires à concurrence de 2 %, par 14 fr. 40, plus la TVA, par 56 fr. 55, soit à un total arrondi de 791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8 juin 2020 est confirmée. III. L’indemnité allouée au défenseur d’office de Z.________ est fixée à 791 fr. (sept cent nonante et un francs). IV. Les frais d’arrêt, par 1’540 fr. (mille cinq cent quarante francs), ainsi que l’indemnité due au défenseur d’office de Z.________, par 791 fr. (sept cent nonante et un francs), sont mis à la charge de ce dernier. V. Le remboursement à l'Etat de l'indemnité allouée au chiffre III ci-dessus ne sera exigible que pour autant que la situation financière de Z.________ le permette. VI. L’arrêt est exécutoire. Le président :               La greffière: Du Le présent arrêt, dont la rédaction a été approuvée à huis clos, est notifié, par l'envoi d'une copie complète, à : - Me Thierry Amy, avocat (pour Z.________),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