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512 vom 25. Juni 2020</w:t>
      </w:r>
    </w:p>
    <w:p>
      <w:r>
        <w:t>VD Tribunal cantonal, 2020-06-25, FR</w:t>
      </w:r>
    </w:p>
    <w:p>
      <w:r>
        <w:rPr>
          <w:b/>
        </w:rPr>
        <w:t xml:space="preserve">Quelle: </w:t>
      </w:r>
      <w:r>
        <w:t>https://mcp.opencaselaw.ch/entscheid/vd_findinfo_D_cision___2020___512</w:t>
      </w:r>
    </w:p>
    <w:p>
      <w:r>
        <w:t>FR: VD_FINDINFO Décision / 2020 / 512 du 25 juin 2020</w:t>
      </w:r>
    </w:p>
    <w:p>
      <w:r>
        <w:t>IT: VD_FINDINFO Décision / 2020 / 512 del 25 giugno 2020</w:t>
      </w:r>
    </w:p>
    <w:p>
      <w:pPr>
        <w:pStyle w:val="Heading2"/>
      </w:pPr>
      <w:r>
        <w:t>Regeste</w:t>
      </w:r>
    </w:p>
    <w:p>
      <w:r>
        <w:t>ORDONNANCE DE SÉQUESTRE, ABUS DE CONFIANCE | 138 CP, 70 al. 1 CP, 71 al. 3 CP</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 prévenu, qui a un intérêt juridique à l’annulation ou à la modification de l’ordonnance entreprise (art. 382 al. 1 CPP), et dans les formes prescrites (art. 385 al. 1 CPP), le recours d’R.________ est recevable.</w:t>
      </w:r>
    </w:p>
    <w:p>
      <w:r>
        <w:rPr>
          <w:b/>
        </w:rPr>
        <w:t>E. 2</w:t>
      </w:r>
    </w:p>
    <w:p>
      <w:r>
        <w:t>Le recourant se plaint d’une constatation incomplète ou erronée des faits. Il reproche au procureur de ne pas avoir individualisé la valeur de chacun des immeubles sur lesquels porte l’ordonnance entreprise. Il invoque ainsi une violation du principe de proportionnalité, dès lors que l’éventuelle créance compensatrice à ordonner à l’issue de la procédure pénale s’élèverait à 167'637 fr. 60, alors que le bien immobilier sur lequel porte le séquestre a une valeur vénale nette totale (après déduction du solde la créance hypothécaire) de 2'920'200 francs. Il considère que le séquestre devrait se limiter à la parcelle [...], dont la valeur vénale nette s’élève à 585'238 fr. 80.</w:t>
      </w:r>
    </w:p>
    <w:p>
      <w:r>
        <w:rPr>
          <w:b/>
        </w:rPr>
        <w:t>E. 2.2.1</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2.2.2</w:t>
      </w:r>
    </w:p>
    <w:p>
      <w:r>
        <w:t>Le séquestre en vue de restitution (art. 263 al. 1 let. c CPP) consiste à placer sous main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 Moreillon/Parein-Reymond, op. cit., n. 17 ad art. 263 CPP et les références citées).</w:t>
      </w:r>
    </w:p>
    <w:p>
      <w:r>
        <w:rPr>
          <w:b/>
        </w:rPr>
        <w:t>E. 2.2.3</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 subsister (ATF 139 IV 250 consid. 2.1 ; ATF 137 IV 145 consid. 6.4 et les réf.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L’art. 71 al. 1 CP prévoit que,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de l’art. 70 al. 2 CP ne sont pas réalisées ; à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manière restrictive lorsque des tiers non enrichis sont concernés (TF 1B_59/2019 du 21 juin 2019 consid. 3.2 et les réf. cit.).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 citées). Le CPP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 Parein-Reymond, op. cit., n. 8 ad rem. prél. aux art. 263 à 268 CPP).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w:t>
      </w:r>
    </w:p>
    <w:p>
      <w:r>
        <w:rPr>
          <w:b/>
        </w:rPr>
        <w:t>E. 2.2.4</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6B_59/2019 du 21 juin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6B_59/2019 précité consid. 3.1 ; TF 1B_500/2018 du 11 février 2019 consid. 6.1).</w:t>
      </w:r>
    </w:p>
    <w:p>
      <w:r>
        <w:rPr>
          <w:b/>
        </w:rPr>
        <w:t>E. 2.2.5</w:t>
      </w:r>
    </w:p>
    <w:p>
      <w:r>
        <w:t>L’art. 798 al. 1 CC dispose que plusieurs immeubles peuvent être constitués en gage pour la même créance, lorsqu’ils appartiennent au même propriétaire ou à des codébiteurs solidaires. S’il y a gage collectif, chaque immeuble garantit la totalité de la créance (ATF 138 III 182). L’art. 833 al. 2 CC prévoit que si une portion d’immeuble grevé est vendue ou si l’aliénation porte sur un des immeubles grevé, la garantie est répartie proportionnellement et par conséquent il en résultera des droits de gage partiels selon l’art. 798 al. 2 CC (Steinauer, Les droits réels, Tome III, 4 e éd., n. 2712, p. 206).</w:t>
      </w:r>
    </w:p>
    <w:p>
      <w:r>
        <w:rPr>
          <w:b/>
        </w:rPr>
        <w:t>E. 2.3</w:t>
      </w:r>
    </w:p>
    <w:p>
      <w:r>
        <w:t>En l’espèce, il résulte des extraits du Registre foncier de la Commune d’ [...] que les trois parcelles n os 278 , 3228 et 3231 , propriétés du recourant, sont garanties par le même gage, constitué le 11 avril 2018 (sous réf. [...]) pour un montant de 2'400'000 fr. auprès de la Banque [...] [...] (P. 48). Dès lors, il est cohérent que – s’agissant d’un même propriétaire au bénéfice d’un gage collectif sur chacun des trois immeubles – le séquestre porte sur les trois immeubles, faute de pouvoir, pour l’autorité pénale, individualiser la valeur affectée à une part de droit de gage partiel. On relève d’ailleurs que cette valeur pourrait en réalité être variable au vu des termes et conditions d’application du parcellement. Par conséquent, le Ministère public a correctement apprécié les faits pour faire porter le séquestre, en vue d’une éventuelle créance compensatrice, sur les trois immeubles propriétés du recourant et en le limitant, ainsi que la restriction d’aliéner, au montant des prétentions civiles des parties plaignantes, soit 167'637 fr. 60. Il n’y a, là, aucune violation du principe de la proportionnalité. Le grief, mal fondé, doit être rejeté.</w:t>
      </w:r>
    </w:p>
    <w:p>
      <w:r>
        <w:rPr>
          <w:b/>
        </w:rPr>
        <w:t>E. 3</w:t>
      </w:r>
    </w:p>
    <w:p>
      <w:r>
        <w:t>En définitive, le recours, manifestement mal fondé, doit être rejeté sans échange d’écritures (art. 390 al. 2 CPP) et l’ordonnance confirmée. Les frais de la procédure de recours, constitués en l’espèce de l’émolument d’arrêt, par 990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28 mai 2020 est confirmée. III. Les frais d’arrêt, par 990 fr. (neuf cent nonante francs), sont mis à la charge de R.________. IV. L’arrêt est exécutoire. Le président :               La greffière : Du Le présent arrêt, dont la rédaction a été approuvée à huis clos, est notifié, par l'envoi d'une copie complète, à : - Me David Vaucher, avocat (pour R.________), - Me Vivian Kühnlein, avocat (pour A.P.________ et B.P.________), - Registre foncier du district de la Glâne,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