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511 vom 26. Juni 2020</w:t>
      </w:r>
    </w:p>
    <w:p>
      <w:r>
        <w:t>VD Tribunal cantonal, 2020-06-26, FR</w:t>
      </w:r>
    </w:p>
    <w:p>
      <w:r>
        <w:rPr>
          <w:b/>
        </w:rPr>
        <w:t xml:space="preserve">Quelle: </w:t>
      </w:r>
      <w:r>
        <w:t>https://mcp.opencaselaw.ch/entscheid/vd_findinfo_D_cision___2020___511</w:t>
      </w:r>
    </w:p>
    <w:p>
      <w:r>
        <w:t>FR: VD_FINDINFO Décision / 2020 / 511 du 26 juin 2020</w:t>
      </w:r>
    </w:p>
    <w:p>
      <w:r>
        <w:t>IT: VD_FINDINFO Décision / 2020 / 511 del 26 giugno 2020</w:t>
      </w:r>
    </w:p>
    <w:p>
      <w:pPr>
        <w:pStyle w:val="Heading2"/>
      </w:pPr>
      <w:r>
        <w:t>Regeste</w:t>
      </w:r>
    </w:p>
    <w:p>
      <w:r>
        <w:t>CLASSEMENT DE LA PROCÉDURE, FRAIS DE LA PROCÉDURE, INDEMNITÉ{EN GÉNÉRAL} | 28 CC, 426 al. 2 CPP (CH)</w:t>
      </w:r>
    </w:p>
    <w:p>
      <w:pPr>
        <w:pStyle w:val="Heading2"/>
      </w:pPr>
      <w:r>
        <w:t>Erwägungen</w:t>
      </w:r>
    </w:p>
    <w:p>
      <w:r>
        <w:rPr>
          <w:b/>
        </w:rPr>
        <w:t>E. 1</w:t>
      </w:r>
    </w:p>
    <w:p>
      <w:r>
        <w:t>CPP) et dans les formes prescrites (art. 385 al. 1 CPP), le recours est recevable.</w:t>
      </w:r>
    </w:p>
    <w:p>
      <w:r>
        <w:rPr>
          <w:b/>
        </w:rPr>
        <w:t>E. 2</w:t>
      </w:r>
    </w:p>
    <w:p>
      <w:r>
        <w:t>CC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Selon l'art. 430 al. 1 let. a CPP, l'autorité pénale peut réduire ou refuser l'indemnité ou la réparation du tort moral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(ATF 144 IV 207 consid. 1.8.2 ; ATF 137 IV 352 consid. 2.4.2).</w:t>
      </w:r>
    </w:p>
    <w:p>
      <w:r>
        <w:rPr>
          <w:b/>
        </w:rPr>
        <w:t>E. 2.1</w:t>
      </w:r>
    </w:p>
    <w:p>
      <w:r>
        <w:t>Le recourant conteste les conséquences économiques accessoires du classement. Il invoque la violation du droit et la constatation incomplète et erronée des faits ayant conduit l'autorité intimée à retenir qu’il aurait adopté un comportement civilement répréhensible justifiant la mise à sa charge d’une indemnité en faveur de l’intimée et des frais de procédure.</w:t>
      </w:r>
    </w:p>
    <w:p>
      <w:r>
        <w:rPr>
          <w:b/>
        </w:rPr>
        <w:t>E. 2.2.1</w:t>
      </w:r>
    </w:p>
    <w:p>
      <w:r>
        <w:t>Aux termes de l'art. 393 al. 2 let. b CPP, le recours peut être formé pour constatation incomplète ou erronée des faits. La constatation des faits est incomplète lorsqu'elle empêche de déterminer comment le droit a été appliqué. La constatation des faits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Commentaire romand, Code de procédure pénale suisse, 2 e éd., Bâle 2019, n. 80 ad art. 393 CPP).</w:t>
      </w:r>
    </w:p>
    <w:p>
      <w:r>
        <w:rPr>
          <w:b/>
        </w:rPr>
        <w:t>E. 2.2.2</w:t>
      </w:r>
    </w:p>
    <w:p>
      <w:r>
        <w:t>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Selon la jurisprudence, un comportement immoral ou contraire au principe de la bonne foi au sens de l'art.</w:t>
      </w:r>
    </w:p>
    <w:p>
      <w:r>
        <w:rPr>
          <w:b/>
        </w:rPr>
        <w:t>E. 2.2.3</w:t>
      </w:r>
    </w:p>
    <w:p>
      <w:r>
        <w:t>Dans les relations entre particuliers, l'art. 28 CC garantit le droit au respect de la sphère privée, qui comprend les événements que chacun veut partager avec un nombre restreint d'autres personnes. En font partie les informations de nature personnelle transmises au moyen de la messagerie électronique. L'irruption d'un tiers dans cette sphère, notamment pour rassembler des informations, constitue une atteinte à la personnalité. Cette atteinte est d'autant plus grave qu'elle concerne la sphère secrète, c'est-à-dire des événements dont l'individu n'entend partager la connaissance qu'avec des personnes auxquelles ces faits ont été spécialement confiés, telles les données sur la santé. Selon l'art. 28 al. 2 CC, une atteinte est illicite, à moins qu'elle ne soit justifiée par le consentement de la victime, par un intérêt prépondérant privé ou public, ou par la loi (TF 4C.223/2003 du 21 octobre 2003 consid. 4.2 et les références). Compte tenu du caractère absolu des droits de la personnalité, toute atteinte est en principe illicite. L'auteur de l'atteinte peut toutefois se prévaloir d'un des motifs justificatifs prévus à l'art. 28 al. 2 CC, en particulier d'un intérêt prépondérant privé ou public ; le juge procédera alors à une pesée des intérêts en présence, en examinant si le but poursuivi par l'auteur de l'atteinte et les moyens mis en œuvre à cette fin sont dignes de protection. S'agissant plus particulièrement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 (TF 5A_982/2015 du 9 décembre 2016 consid. 5.2).</w:t>
      </w:r>
    </w:p>
    <w:p>
      <w:r>
        <w:rPr>
          <w:b/>
        </w:rPr>
        <w:t>E. 2.3</w:t>
      </w:r>
    </w:p>
    <w:p>
      <w:r>
        <w:t>En l’espèce, le recourant admet qu’il a effectué des recherches par mots-clés dans les boîtes email de quatre collaborateurs de la société, mais soutient qu’il l’a fait parce qu’il avait constaté une tentative de phishing et que son statut de « Global Administrator » lui permettait un accès illimité au réseau informatique de la société. Il affirme que c’est en effectuant ces recherches en relation avec la tentative de phishing qu’il s’est retrouvé « nez-à-nez » avec sa lettre de licenciement. Le recourant admet aussi qu’il a téléchargé sa boîte email professionnelle sur son ordinateur privé, mais soutient que cela était dans le seul but de prouver ses heures supplémentaires. En revanche, il nie avoir téléchargé les boîtes email d’autres collaborateurs sur un support informatique privé et que, de toute manière, même s’il l’avait fait, cela ne pourrait lui être reproché puisqu’il en avait le droit en sa qualité de « Global Administrator ». Enfin, le recourant allègue que le Ministère public n’a pas indiqué la règle de droit civil ou la norme de comportement qu’il aurait violée. Partant, il considère qu’il n’a commis aucun acte illicite et fautif justifiant la mise à sa charge des frais de procédure et d’une indemnité au sens de l’art. 433 CPP en faveur de l’intimée. L’intimée soutient que le statut de « Global Administrator » n’octroyait pas au recourant un accès illimité aux boîtes email des collaborateurs de la société, que celui-ci s’est précisément introduit dans le système pour s’octroyer les accès qui lui manquaient, qu’il n’est pas tombé par hasard sur sa lettre de licenciement puisqu’il a fouillé les boîtes email au moyen de mots-clés tels que « licenciement », «  [...]» et « [...] » , qu’il ne cherchait nullement à documenter d’éventuelles heures supplémentaires, mais bien plutôt à collecter des informations le concernant, et que l’analyse du système informatique de la société n’a pas révélé le moindre courriel se rapportant à une quelconque tentative de phishing. L’intimée considère que les recherches ciblées du recourant constituent une violation du devoir de diligence et de fidélité, respectivement un acte civilement répréhensible. La Procureure considère que le fait que le recourant se soit octroyé sans justification un libre accès aux boîtes email de quatre collaborateurs constitue une atteinte grave aux droits de la personnalité de ceux-ci. En outre, en procédant à des recherches sur ces boîtes email en utilisant des mots-clés qui n’avaient aucun lien avec des questions de sécurité informatique, le recourant avait porté atteinte au secret des communications et violé la sphère intime des intéressés. Ayant ainsi illicitement et fautivement contrevenu aux normes de droit civil sur la protection de la personnalité et provoqué l’ouverture de la procédure, le recourant devait s’acquitter des frais de la cause et verser une indemnité en faveur de la plaignante.</w:t>
      </w:r>
    </w:p>
    <w:p>
      <w:r>
        <w:rPr>
          <w:b/>
        </w:rPr>
        <w:t>E. 3</w:t>
      </w:r>
    </w:p>
    <w:p>
      <w:r>
        <w:t>Avant d’exposer ses arguments concernant la mise à sa charge des frais de procédure et d’une indemnité en faveur de l’intimée, le recourant fait valoir que le Ministère public a fait montre d’un excès de zèle en décidant d’ouvrir une instruction pénale. Il allègue qu’une simple lecture des pièces et analyse du dossier auraient permis de constater non seulement que la plainte déposée était tardive, mais aussi qu’en l’absence manifeste de l’un des éléments constitutifs objectifs de l’infraction de soustraction de données (art. 143 CP), c’est une ordonnance de non-entrée en matière qui aurait dû être rendue. La Cour de céans ne peut qu’adhérer aux éléments exposés par le Ministère public. En effet, au vu des contradictions entre le contenu de la plainte et les déclarations de X.________ à la police, l’audition de ce dernier par la Procureure se révélait indispensable. En outre, il apparaissait nécessaire de clarifier l’état de fait, notamment en ce qui concerne les pouvoirs conférés au recourant en vertu de son statut de « Global Administrator ». C’est donc à juste titre que le Ministère public a décidé de l’ouverture d’une instruction pénale à l’encontre de X.________. Quant au délai pour déposer plainte, le recourant perd de vue que l’infraction de soustraction de données se poursuit d’office lorsque l’infraction n’a pas été commise au préjudice de proches ou de familiers (cf. art. 143 al. 2 CP) et que la qualité de partie plaignante est alors acquise même après l’expiration du délai de 90 jours (Dupuis et alii, Petit Commentaire du Code pénal, 2 e éd., Bâle 2017, n. 3 ad art. 31 CP).</w:t>
      </w:r>
    </w:p>
    <w:p>
      <w:r>
        <w:rPr>
          <w:b/>
        </w:rPr>
        <w:t>E. 4</w:t>
      </w:r>
    </w:p>
    <w:p>
      <w:r>
        <w:t>Dans l’ordonnance attaquée (p. 6 ; P. 5/3), la Procureure a retenu que, par son statut de « Global Administrator », le recourant disposait d’office du droit de s’attribuer à lui-même et aux administrateurs les rôles informatiques supplémentaires de « Discovery Management » et de « eDiscovery Manager », ce qui lui permettait d’effectuer des recherches sur l’ensemble des boîtes email de la société et d’en exporter le contenu. En outre, le courriel du 1 er avril 2015 qui attribuait au recourant le statut de « Global Administrator » ne comportait aucune réserve expresse (P. 21, DB21 et DB22). Le recourant avait donc un accès général au réseau informatique de la société. L’argument du recourant selon lequel il a effectué des recherches par mots-clés dans le but de pouvoir prouver ses heures supplémentaires et de contrer une tentative de phishing ne résiste pas l’examen. En effet, le recourant avait certes un accès global au réseau informatique de la société, mais cela ne l’autorisait nullement à faire des recherches tous azimuts dans les boîtes email des autres collaborateurs, dont par ailleurs celle du CEO E.________. En procédant à la recherche par les mots-clés « licenciement », « contrat de travail », «  [...]» et « [...] » , le recourant a clairement outrepassé les recherches qui pouvaient raisonnablement être admises dans le cadre de ses fonctions de « Global Administrator ». Ces mots-clés n’ont aucun lien avec des heures supplémentaires ni avec une tentative de phishing, si tant est que celle-ci ait existé. Comme exposé par la Procureure, dans la mesure où les relations de travail entre les parties s’étaient fortement dégradées, il y a lieu de retenir que le recourant a bel et bien effectué les recherches reprochées afin de connaître son sort au sein de la société. Au demeurant, ces recherches semblent avoir été fructueuses puisque le recourant dit qu’il a trouvé sa lettre de licenciement dans l’un des fichiers. En procédant à des recherches dans les boîtes email de plusieurs employés de la société sans leur consentement à des fins étrangères à ses tâches professionnelles, le recourant a illicitement et fautivement pris le risque de violer la sphère privée de ceux-ci. La négligence suffit. Il n’existe aucun fait justificatif à l’atteinte à la personnalité allégué ou prouvé au sens de l’art. 28 al. 2 CC. Confronté par la Procureure à la question de savoir s’il trouverait normal que quelqu’un fasse des recherches par mots-clés dans sa boîte email, le recourant a par ailleurs reconnu que cela était un problème (PV aud. 2, ligne 139). En outre, contrairement à ce qu’il prétend, il savait parfaitement qu’il ne devait pas consulter les boîtes email des collaborateurs de l’entreprise à des fins privées. Par conséquent, vu le comportement civilement répréhensible du recourant ayant conduit à l’ouverture de la procédure pénale, c’est à bon droit que le Ministère public a considéré que celui-ci devait supporter les frais de procédure et s’acquitter d’une indemnité à forme de l’art. 433 CPP en faveur de la plaignante.</w:t>
      </w:r>
    </w:p>
    <w:p>
      <w:r>
        <w:rPr>
          <w:b/>
        </w:rPr>
        <w:t>E. 5</w:t>
      </w:r>
    </w:p>
    <w:p>
      <w:r>
        <w:t>Le recourant soutient que l’intimée a certes chiffré ses prétentions en vue de l’octroi d’une indemnité pour les dépenses obligatoires occasionnées par la procédure, mais que les pièces qu’elle a produites ne sont pas suffisamment claires pour justifier le montant demandé. Le 17 janvier 2020, l’intimée a produit deux listes d’opérations (P. 26) : une liste pour les opérations effectuées du 4 mai au 27 décembre 2018 pour un montant de 20'639 fr. 15 hors TVA et une liste pour les opérations effectuées du 7 janvier au 30 novembre 2019 pour un montant de 14'350 fr. 90 hors TVA. Il est vrai que l’intimée a caviardé plusieurs lignes sur chaque liste, mais on comprend qu’il s’agit d’opérations qui n’ont pas de lien avec la présente procédure, puisqu’elle a conclu à l’octroi d’une indemnité totale de 30'179 fr. 73 au lieu d’environ 35'000 francs. En outre, les libellés de toutes les opérations sont détaillés, de sorte que l’obligation de justifier les activités selon l’art. 433 al. 2 CPP est réalisée. Pour le surplus, c’est à bon droit que la Procureure a retenu qu’au vu de l’ampleur du dossier et de la durée du mandat, les relevés des opérations de Me Jérôme Nicolas paraissaient quelque peu excessifs. Elle a indiqué poste par poste le temps raisonnable qui pouvait être retenu (cf. ordonnance, p. 9), sans par ailleurs que le recourant ne trouve rien à y redire. La motivation est claire et précise. Le montant de l’indemnité, par 14'049 fr. 45, TVA et débours compris, doit par conséquent être confirmé.</w:t>
      </w:r>
    </w:p>
    <w:p>
      <w:r>
        <w:rPr>
          <w:b/>
        </w:rPr>
        <w:t>E. 6</w:t>
      </w:r>
    </w:p>
    <w:p>
      <w:r>
        <w:t>En définitive, il résulte de ce qui précède que le recours doit être rejeté et l'ordonnance entreprise confirmée s’agissant des points contestés par le recourant. Les frais de la procédure de recours, par 1’320 fr. (art. 422 al. 1 CPP et 20 al. 1 TFIP [Tarif des frais de procédure et indemnités en matière pénale du 28 septembre 2010 ; BLV 312.03.1]), seront mis à la charge du recourant, qui succombe (art. 428 al. 1 CPP). L’intimée, qui obtient gain de cause et qui a procédé avec l’assistance d’un avocat de choix, a droit à une juste indemnité pour les dépenses occasionnées par la procédure de recours au sens de l’art. 433 al. 1 let. a CPP, applicable par renvoi de l’art. 436 al. 1 CPP (TF 6B_1065/2015 du 15 septembre 2016 consid. 3.2). Selon la liste d’opérations produite (P. 34/1), Me Jérôme Nicolas a effectué 5 h de travail à 400 fr. l’heure et Me Delphine Steiner 6,83 h de travail à 300 fr. l’heure, ce qui correspond à une indemnité de 4'049 francs. Or, l’art. 26a al. 3 TFIP prévoit que le tarif horaire déterminant, hors TVA, est de 250 fr. à 350 fr. au maximum, seules les causes complexes ou nécessitant des connaissances particulières justifiant d’augmenter le tarif jusqu’à 400 fr. (art. 26a al. 4 TFIP). La présente cause n’était toutefois pas complexe dans les faits ou dans les moyens, de sorte qu’il sera retenu un tarif horaire de 300 fr. pour les deux avocats (TF 1B_104/2020 du 27 mai 2020 consid. 3.4). En outre, vu la nature de l’affaire et l’expérience de ceux-ci, on peut estimer la durée nécessaire et raisonnable à la rédaction des déterminations à 8 h au total (CREP 30 mai 2020/428 ; CREP 30 avril 2020/276 ; CREP 11 janvier 2017/23). Le défraiement s’élève donc à 2'400 francs. S’y ajoutent 2 % pour les débours (art. 19 al. 2 TDC [Tarif des dépens en matière civile du 23 novembre 2010 ; BLV 270.11.6] par renvoi de l'art. 26a al. 6 TFIP) et 7,7 % pour la TVA, de sorte que l'indemnité s'élève au total à 2'636 francs. Elle sera mise à la charge du recourant, qui succombe (art. 428 al. 1 CPP). Par ces motifs, la Chambre des recours pénale prononce : I. Le recours est rejeté. II. Les chiffres III et V du dispositif de l'ordonnance de classement du 28 janvier 2020 sont confirmés. III. Les frais d'arrêt, par 1'320 fr. (mille trois cent vingt francs), sont mis à la charge de X.________. IV. Une indemnité de 2'636 fr. (deux mille six cent trente-six francs) est allouée à U.________SA pour ses dépenses obligatoires occasionnées par la procédure de recours, à la charge de X.________. V. L’arrêt est exécutoire. Le président :              La greffière : Du Le présent arrêt, dont la rédaction a été approuvée à huis clos, est notifié, par l'envoi d'une copie complète, à : - Me Maxime Rocafort, avocat (pour X.________), - Me Jérôme Nicolas, avocat (pour U.________SA), - Ministère public central, et communiqué à : - Mme la Procureure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