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474 vom 17. Juni 2020</w:t>
      </w:r>
    </w:p>
    <w:p>
      <w:r>
        <w:t>VD Tribunal cantonal, 2020-06-17, FR</w:t>
      </w:r>
    </w:p>
    <w:p>
      <w:r>
        <w:rPr>
          <w:b/>
        </w:rPr>
        <w:t xml:space="preserve">Quelle: </w:t>
      </w:r>
      <w:r>
        <w:t>https://mcp.opencaselaw.ch/entscheid/vd_findinfo_D_cision___2020___474</w:t>
      </w:r>
    </w:p>
    <w:p>
      <w:r>
        <w:t>FR: VD_FINDINFO Décision / 2020 / 474 du 17 juin 2020</w:t>
      </w:r>
    </w:p>
    <w:p>
      <w:r>
        <w:t>IT: VD_FINDINFO Décision / 2020 / 474 del 17 giugno 2020</w:t>
      </w:r>
    </w:p>
    <w:p>
      <w:pPr>
        <w:pStyle w:val="Heading2"/>
      </w:pPr>
      <w:r>
        <w:t>Regeste</w:t>
      </w:r>
    </w:p>
    <w:p>
      <w:r>
        <w:t>DÉTENTION PROVISOIRE, RISQUE DE RÉCIDIVE | 221 al. 1 let. c CPP (CH), 221 al. 2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l’art. 221 al. 2 CPP prévoit que la détention peut être ordonnée s’il y a sérieusement lieu de craindre qu’une personne passe à l’acte après avoir menacé de commettre un crime grave.</w:t>
      </w:r>
    </w:p>
    <w:p>
      <w:r>
        <w:rPr>
          <w:b/>
        </w:rPr>
        <w:t>E. 2.2</w:t>
      </w:r>
    </w:p>
    <w:p>
      <w:r>
        <w:t>La mise en détention provisoire (soit au sens de l’art. 221 al. 1 CPP)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3.1</w:t>
      </w:r>
    </w:p>
    <w:p>
      <w:r>
        <w:t>En l’espèce, le recourant ne nie pas l’existence de soupçons suffisants à son encontre pour ce qui est des faits matériels constituant l’objet de la procédure pénale, soit ceux survenus le 5 mai 2020, qu’il admet pour l’essentiel (cf. not. PV aud. du 7 mai 2020, lignes 128-131). En revanche, il conteste, sous l’angle de l’appréciation des faits, la réalisation d’au moins un élément constitutif de l’infraction de menaces qualifiées (cf. consid. 3.2.2 ci-dessous). Comme en a statué le Tribunal des mesures de contrainte, les faits incriminés essentiels sont corroborés tant par les dires de la victime que par les aveux du prévenu, ainsi que, surtout, par l’enregistrement vidéo versé au dossier. La condition préalable des graves soupçons de culpabilité portant sur un crime ou un délit est donc remplie. On ajoutera que la détention fondée spécifiquement sur l’art. 221 al. 2 CPP ne présuppose pas impérativement de tels soupçons (Forster, in : Niggli/Heer/Wiprächtiger [éd.], Basler Kommentar, Schweizerische Strafprozess-ordnung, Jugendstrafprozessordnung, Art. 196-457 StPO – Art. 1-54 JStPO, 2 e éd., Bâle 2014, n. 16 ad art. 221 CPP).</w:t>
      </w:r>
    </w:p>
    <w:p>
      <w:r>
        <w:rPr>
          <w:b/>
        </w:rPr>
        <w:t>E. 3.2.1</w:t>
      </w:r>
    </w:p>
    <w:p>
      <w:r>
        <w:t>Le Tribunal des mesures de contrainte a relevé, par référence à son ordonnance du 9 mai 2020, que le risque de réitération et de passage à l’acte était réalisé, nonobstant l’absence d’antécédents du prévenu. En effet, ces violences conjugales paraissaient s’inscrire dans un contexte d’adultère, de jalousie et d’alcoolisations massives, tout comme il n’était pas rassurant que le prévenu ait fait usage d’un couteau en présence de son fils. L’autorité a ajouté que ces violences semblaient récurrentes, dès lors que la police était déjà intervenue au domicile du couple en octobre 2016. Sur la base de ces éléments, le tribunal a considéré que l’on ne pouvait que craindre que l’intéressé réitère des comportements violents à l’égard de son épouse, voire qu’il s’en prenne sérieusement à son intégrité corporelle dans un moment d’alcoolisation. Le tribunal a ajouté qu’aucune mesure de substitution n’était susceptible de prévenir les risques retenus, étant précisé qu’à ce stade, une interdiction de contact et de périmètre était insuffisante compte tenu de l’actuelle crise conjugale.</w:t>
      </w:r>
    </w:p>
    <w:p>
      <w:r>
        <w:rPr>
          <w:b/>
        </w:rPr>
        <w:t>E. 3.2.2</w:t>
      </w:r>
    </w:p>
    <w:p>
      <w:r>
        <w:t>Le recourant soutient que l’infraction de menaces qualifiées « n’est manifestement pas réalisée » (recours, ch. 1/d). C’est à juste titre que le prévenu relève que l’infraction de menaces est, contrairement au principe posé par l’art. 180 al. 1 CP, poursuivie d’office dans certains cas particuliers, notamment si l’auteur est le conjoint de la victime et que la menace a été commise durant le mariage ou dans l’année qui a suivi le divorce (art. 180 al. 2 let. a CP). Cela étant, il nie qu’il puisse être considéré, à ce stade de la procédure, que la victime ait été alarmée ou effrayée au sens de l’art. 180 al. 1 CP, notamment lors de l’épisode survenu le 5 mai 2020.</w:t>
      </w:r>
    </w:p>
    <w:p>
      <w:r>
        <w:rPr>
          <w:b/>
        </w:rPr>
        <w:t>E. 3.2.3</w:t>
      </w:r>
    </w:p>
    <w:p>
      <w:r>
        <w:t>La description des faits par la victime dans sa plainte et durant son audition, rapprochée du contexte général de violence dans les relations conjugales et de l’usage, à une reprise, d’un couteau par le prévenu, suffit, en l’état, à retenir que l’épouse a été alarmée ou effrayée lors des faits incriminés, s’agissant, à une reprise, de menaces de mort explicites. Quoi qu’il en soit, faire droit au moyen du recourant impliquerait de préjuger de l’appréciation du juge du fond, ce à quoi ne saurait s’avancer le juge de la détention. De toute manière, l’infraction de menaces peut être réalisée au degré de la tentative même si la victime n’a pas été alarmée ou effrayée (Corboz, Les infractions en droit suisse, vol. I, 3 e éd., Berne 2010, Vol. I, n. 20 ad art. 180 CP).</w:t>
      </w:r>
    </w:p>
    <w:p>
      <w:r>
        <w:rPr>
          <w:b/>
        </w:rPr>
        <w:t>E. 3.3.1</w:t>
      </w:r>
    </w:p>
    <w:p>
      <w:r>
        <w:t>La prolongation de la détention (selon l’art. 221 al. 1 et l’art. 221 al. 2 CPP), respectivement le rejet de la demande de libération de la détention provisoire, se fonde en particulier sur le risque de passage à l’acte; le risque de récidive, soit de réitération, est retenu par renvoi intégral aux motifs de l’ordonnance précédente, du 9 mai 2020, laquelle ne distingue pas les deux normes légales à cet égard (cf. spéc. p. 3). L'art. 221 al. 2 CPP permet d'ordonner la détention lorsqu'il y a lieu de craindre un passage à l'acte, même en l'absence de toute infraction préalable. Il doit s'agir d'un crime grave et non seulement d'un délit (ATF 137 IV 122 consid. 5.2 p. 129 s.).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s.; ATF 137 IV 122 consid. 5.2 p. 129 s.). Plus l'infraction redoutée est grave, plus la mise en détention se justifie lorsque les éléments disponibles ne permettent pas une évaluation précise de ce risque (ATF 140 IV 19 consid. 2.1.1 p. 22; TF 1B_184/2019 du 9 mai 2019 consid. 6.2; TF 1B_567/2018 du 21 janvier 2019 consid. 4.2). La doctrine mentionne expressément que des menaces au sens de l’art. 180 CP puissent être déterminantes au sens de l’art. 221 al. 2 CPP (Forster, op. cit., n. 18 ad art. 221 CPP, avec n. infrapaginale 77).</w:t>
      </w:r>
    </w:p>
    <w:p>
      <w:r>
        <w:rPr>
          <w:b/>
        </w:rPr>
        <w:t>E. 3.3.2</w:t>
      </w:r>
    </w:p>
    <w:p>
      <w:r>
        <w:t>Dans le cas particulier, le risque de passage à l’acte est avéré pour les motifs suivants : - la procédure porte sur un cas de menace d'infractions violentes, soit d’homicide; - l'état psychique du prévenu constitue un motif d’inquiétude, dès lors que l’intéressé se livre à des abus d’alcool récurrents, son taux d’alcoolémie ayant été de 1,63 ‰ lors de son interpellation; - le prévenu fait preuve d’imprévisibilité, comme l’établit le fait que les divers épisodes de violence initialement en cause soient survenus sans signe préalable; - le prévenu est assurément agressif, comme le révèle l’usage d’un couteau à l’appui des menaces de mort proférées, étant ajouté que les agissements du 5 mai 2020 n’ont été interrompus que par la présence inopinée du fils des parties sur les lieux et son intervention. Les conditions posées par l'art. 221 al. 2 CPP sont ainsi réunies.</w:t>
      </w:r>
    </w:p>
    <w:p>
      <w:r>
        <w:rPr>
          <w:b/>
        </w:rPr>
        <w:t>E. 3.4</w:t>
      </w:r>
    </w:p>
    <w:p>
      <w:r>
        <w:t>L’hypothèse prévue par l'art. 221 al. 2 CPP étant une cause légale de détention distincte ( selbstständig ; cf. Forster, op. cit, n. 16 ad art. 221 CPP) de celles prévues par l’art. 221 al. 1 CPP, point n’est besoin d’examiner le risque de récidive, soit de réitération. On ajoutera néanmoins que, dans le cas particulier, les motifs pour admettre le risque de passage à l’acte s’appliquent, mutatis mutandis, au risque de réitération. Le motif de détention posé par l’art. 221 al. 1 let. c CPP est donc aussi donné.</w:t>
      </w:r>
    </w:p>
    <w:p>
      <w:r>
        <w:rPr>
          <w:b/>
        </w:rPr>
        <w:t>E. 4.1</w:t>
      </w:r>
    </w:p>
    <w:p>
      <w:r>
        <w:t>L’art. 212 al. 3 CPP prévoit que la détention provisoire ne doit pas durer plus longtemps que la peine privative de liberté prévisible. Cette norme n’est pas applicable à l’aune de l’art. 212 al. 2 CPP, mais seulement sous l’angle de l’art. 221 al. 1 CPP, en plus de l’hypothèse de la détention à des fins d’extradition qui n’est évidemment pas en cause ici (Albertini/Armbruster, in : Niggli/Heer/Wiprächtiger [éd.], n. 12 ad art. 212 CPP).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w:t>
      </w:r>
    </w:p>
    <w:p>
      <w:r>
        <w:rPr>
          <w:b/>
        </w:rPr>
        <w:t>E. 4.2</w:t>
      </w:r>
    </w:p>
    <w:p>
      <w:r>
        <w:t>En l’espèce, le recourant est détenu depuis le 6 mai 2020. Au vu de la gravité des faits incriminés, s’agissant notamment d’une infraction passible d’une peine privative de trois ans au plus (art. 180 al. 1 CP), une détention d’une durée totale fixée à deux mois à l’échéance du 6 juillet 2020 est à l’évidence proportionnée à la peine privative de liberté susceptible d’être prononcée. Il en est d’autant ainsi que l’instruction touche à sa fin, dès lors que, dans sa saisine du 20 mai 2020, le Ministère public a annoncé la prochaine clôture d’enquête en vue d’un renvoi du prévenu en jugement. Sous l’angle de l’art. 221 al. 2 CPP, la Cour ajoutera que la durée de deux mois ici en cause équivaut précisément au maximum théorique mentionné par la doctrine quant à la détention fondée spécifiquement sur cette norme, à savoir abstraction faite de toute détention provisoire au sens de l’art. 221 al. 1 CPP (Forster, op. cit. , n. 18 ad art. 221 CPP, avec n. infrapaginale 83).</w:t>
      </w:r>
    </w:p>
    <w:p>
      <w:r>
        <w:rPr>
          <w:b/>
        </w:rPr>
        <w:t>E. 5</w:t>
      </w:r>
    </w:p>
    <w:p>
      <w:r>
        <w:t>Il résulte de ce qui précède que le recours, manifestement mal fondé, doit être rejeté sans échange d’écritures (art. 390 al. 2 CPP) et l’ordonnance du 28 mai 2020 confirmée. Les frais de la procédure de recours, par 990 fr. (art. 20 al. 1 TFIP [tarif des frais de procédure et indemnités en matière pénale du 28 septembre 2010; BLV 312.03.1]), ainsi que les frais imputables à la défense d’office (art. 422 al. 1 et 2 let. a CPP), fixés sur la base d’une durée d’activité d’avocat de deux heures et demie, au tarif horaire de 180 fr., par 494 fr. 35, montant arrondi à 494 fr., qui comprennent des honoraires par 450 fr., des débours forfaitaires par 9 fr. (cf. art. 26b TFIP qui renvoie à l'art. 3 bis RAJ [règlement sur l’assistance judiciaire en matière civile du 7 décembre 2010; BLV 211.02.3], en vigueur dès le 1 er mai 2019)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28 mai 2020 est confirmée. III. L’indemnité allouée au défenseur d’office de W.________ est fixée à 494 fr. (quatre cent nonante-quatre francs). IV. Les frais d’arrêt, par 990 fr. (neuf cent nonante francs), ainsi que l’indemnité due au défenseur d’office de W.________, par 494 fr. (quatre cent nonante-quatre francs), sont mis à la charge de ce dernier. V. Le remboursement à l'Etat de l'indemnité allouée au chiffre III ci-dessus ne sera exigible que pour autant que la situation financière de W.________ le permette. VI. L’arrêt est exécutoire. Le président :               Le greffier : Du Le présent arrêt, dont la rédaction a été approuvée à huis clos, est notifié, par l'envoi d'une copie complète, à : - Me Jeremy Mas, avocat (pour W.________),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