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470 vom 16. Juni 2020</w:t>
      </w:r>
    </w:p>
    <w:p>
      <w:r>
        <w:t>VD Tribunal cantonal, 2020-06-16, FR</w:t>
      </w:r>
    </w:p>
    <w:p>
      <w:r>
        <w:rPr>
          <w:b/>
        </w:rPr>
        <w:t xml:space="preserve">Quelle: </w:t>
      </w:r>
      <w:r>
        <w:t>https://mcp.opencaselaw.ch/entscheid/vd_findinfo_D_cision___2020___470</w:t>
      </w:r>
    </w:p>
    <w:p>
      <w:r>
        <w:t>FR: VD_FINDINFO Décision / 2020 / 470 du 16 juin 2020</w:t>
      </w:r>
    </w:p>
    <w:p>
      <w:r>
        <w:t>IT: VD_FINDINFO Décision / 2020 / 470 del 16 giugno 2020</w:t>
      </w:r>
    </w:p>
    <w:p>
      <w:pPr>
        <w:pStyle w:val="Heading2"/>
      </w:pPr>
      <w:r>
        <w:t>Regeste</w:t>
      </w:r>
    </w:p>
    <w:p>
      <w:r>
        <w:t>DÉTENTION PROVISOIRE, PROLONGATION, SOUPÇON, BRIGANDAGE, RISQUE DE COLLUSION, MESURE DE SUBSTITUTION À LA DÉTENTION | 221 al. 1 let. b CPP (CH), 227 CPP (CH), 237 CPP (CH)</w:t>
      </w:r>
    </w:p>
    <w:p>
      <w:pPr>
        <w:pStyle w:val="Heading2"/>
      </w:pPr>
      <w:r>
        <w:t>Erwägungen</w:t>
      </w:r>
    </w:p>
    <w:p>
      <w:r>
        <w:rPr>
          <w:b/>
        </w:rPr>
        <w:t>E. 1</w:t>
      </w:r>
    </w:p>
    <w:p>
      <w:r>
        <w:t>Interjeté dans le délai légal (art. 396 al. 1 CPP) contre une décision du Tribunal des mesures de contrainte dans un cas prévu par le CPP (art. 393 al. 1 let. c CPP), par le détenu qui a qualité pour recourir (art. 222 et 382 al. 1 CPP) et dans les formes prescrites (art. 385 al. 1 CPP), le recours de U.________ est recevable.</w:t>
      </w:r>
    </w:p>
    <w:p>
      <w:r>
        <w:rPr>
          <w:b/>
        </w:rPr>
        <w:t>E. 2.1</w:t>
      </w:r>
    </w:p>
    <w:p>
      <w:r>
        <w:t>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A l’expiration de la durée de la détention provisoire fixée par le tribunal des mesures de contrainte, le ministère public peut demander la prolongation de la détention (art. 227 al. 1 CPP).</w:t>
      </w:r>
    </w:p>
    <w:p>
      <w:r>
        <w:rPr>
          <w:b/>
        </w:rPr>
        <w:t>E. 2.2</w:t>
      </w:r>
    </w:p>
    <w:p>
      <w:r>
        <w:t>La mise en détention provisoire n'est possible que s'il existe à l'égard de l'auteur présumé, et préalablement à toute autre cause, de graves soupçons de culpabilité d'avoir commis un crime ou un délit (ATF 139 IV 186 consid. 2 ; Chaix, in : Jeanneret/Kuhn/Perrier Depeursinge [éd.], Commentaire romand, Code de procé­dure pénale suisse, 2 e éd., Bâle 2019 [CR-CPP],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3.2, JdT 2018 IV 17 ; ATF 137 IV 122 consid. 3.2, JdT 2012 IV 79 ; TF 1B_413/2019 du 11 septembre 2019 consid. 2.1 ; Chaix,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1B_184/2019 du 9 mai 2019 consid. 5.1).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330 consid. 2.1, JdT 2018 IV 39 ; ATF 137 IV 122 consid. 3.2 ; ATF 124 I 208 consid. 3 ; TF 1B_308/2018 du 17 juillet 2018 consid. 2.1 ; Forster, in : Niggli/Heer/Wiprächtiger [éd.], Basler Kommentar, Schwei­zerische Strafprozessord­nung, 2 e éd., Bâle 2014, n. 3 ad art. 221 CPP).</w:t>
      </w:r>
    </w:p>
    <w:p>
      <w:r>
        <w:rPr>
          <w:b/>
        </w:rPr>
        <w:t>E. 3.1</w:t>
      </w:r>
    </w:p>
    <w:p>
      <w:r>
        <w:t>Niant toute participation au brigandage du 8 février 2018, le recourant conteste l’existence de graves soupçons à son encontre. Il soutient que le raisonnement fait par le Tribunal des mesures de contrainte pour retenir l’existence de soupçons suffisants contient des constatations erronées ou incomplètes des faits s’agissant, d’une part, de la transmission de messages de V.________ à M.________ et, d’autre part, de la mise en contact de V.________ et de O.________.</w:t>
      </w:r>
    </w:p>
    <w:p>
      <w:r>
        <w:rPr>
          <w:b/>
        </w:rPr>
        <w:t>E. 3.2.1</w:t>
      </w:r>
    </w:p>
    <w:p>
      <w:r>
        <w:t>Le recourant soutient tout d’abord que le dossier ne contient aucun élément propre à rendre vraisemblable qu’il aurait transmis des messages en vue du brigandage commis à [...], en particulier de V.________ à M.________; il prétend n’avoir plus eu de contacts avec V.________ les mois qui ont précédé le brigandage. En l’espèce, il faut relever que le recourant a lui-même, lors de ses auditions successives, admis à réitérées reprises avoir transmis des messages écrits et oraux entre V.________ (convoyeur qui aurait eu l’idée du braquage) et O.________ (exécutant [...]), notamment par l’intermédiaire de M.________ (cf. PV aud. 46 R. 20 p. 13, R. 23 p. 15 [2x], R. 25 pp. 16-17, R. 26 p. 17, R. 33 p. 19, R. 41 p. 21 ; PV aud. 47 R. 5 ll. 64-67, R. 6 ll. 74-77). Lors de son audition du 22 novembre 2019 par la police, U.________ a résumé sa participation comme il suit (PV aud. 46 R. 43 p. 23) : « Vous me deman­dez comment j’évalue mon rôle dans cette affaire. En fait je rendais des services à des gens qui préféraient que j’aille à droite à gauche faire passer des messages à la place de se déplacer eux-mêmes et donc de ne pas se faire griller. ». Certes le recourant affirme qu’il n’a pas endossé ce rôle juste avant la commission du braquage de [...]. Toutefois cette allégation est infirmée par M.________, qui a expliqué lors de ses auditions, non seulement que le recourant n’avait pas interrompu son rôle de messager mais qu’il savait pertinem­ment en quoi consistaient les messages et leur portée (PV aud. 48) : « U.________ savait très bien qu’un brigandage était en préparation et qu’il transmettait des messages pour ces préparations. Il est clair qu’il comprenait ces messages. » [R. 37 p. 22] », puis « Vous me demandez si U.________ a arrêté de faire messager entre V.________ et vous pendant une période. Non. Vous me dites que U.________ dit qu’il était en froid avec V.________ pendant une période. C’est possible, mais cela ne l’a pas empêché de le voir. » [R. 38 p. 22]. Cette allégation est en outre infirmée par le fait que le recourant admet avoir continué à faire le messager et l’intermédiaire après la commission du brigandage : en effet, U.________ a admis avoir, à la demande de V.________, fait passer des messages entre V.________ et M.________ après la « garde à vue » de V.________, pour dire que V.________ voulait entrer en contact avec O.________ (PV aud. 47 R. 6 ll. 74-77 et R. 11 ll. 129 ss). Le 22 novembre 2019, U.________ a ainsi déclaré à la police (PV aud. 46 R. 41 pp. 21-22) : « Avant sa garde à vue, sauf erreur, soit le jour de ce premier message, V.________ m’a dit qu’il voulait rentrer en contact avec O.________ et il m’a dit de faire passer le message à M.________. Ce que j’ai fait. (…) Suite à cela, il y a eu le second message où O.________ dit qu’il veut me voir avec M.________. Nous sommes donc allés le voir avec M.________ à [...]. ». Enfin, il ressort des déclarations de M.________ et du recourant que les deux hommes se sont bien rendus à [...] pour rencontrer O.________ quelques jours après le braquage. A cet égard, il convient de relever qu’il ressort d’une capture d’écran retrouvée dans le téléphone de M.________ que c’est O.________ lui-même qui a exigé de M.________ qu’il vienne avec le recourant à [...] (PV aud. 46 D. 41 p. 21) : « Kan tu rentre pren le petit [i. e. le recourant] et vien me voir il fo ke je vous voit. ». Il y a donc non seulement des éléments qui accréditent une participa­tion du recourant avant la commission du braquage, mais également après, les termes du message de O.________ reproduits tel quel ci-dessus pouvant laisser penser que le recourant a eu un rôle plus important que celui, qu’il admet, de transmettre des messages. D’autres éléments vont également dans ce sens. En effet, M.________ a déclaré que U.________, avec O.________ et d’autres, étaient allés à [...] faire un test, ou qu’il avait à tout le moins effectué des repérages et fait des recherches sur la famille de S.________, convoyeur dont la fille a été séquestrée pendant l’opération, ce qu’un billet retrouvé lors de la perquisition du domicile du recourant, qui mentionne le nom du second convoyeur ainsi que le fait qu’il aurait des filles, est de nature à corroborer. Le recourant admet du reste avoir noté l’adresse de ce convoyeur sur ce billet (PV aud. du 15 avril 2020 R. 39 p. 26) et avoir espéré obtenir de l’argent de V.________ après le braquage (ibid. R. 71 p. 37). Mal fondés, ces arguments doivent être rejetés.</w:t>
      </w:r>
    </w:p>
    <w:p>
      <w:r>
        <w:rPr>
          <w:b/>
        </w:rPr>
        <w:t>E. 3.2.2</w:t>
      </w:r>
    </w:p>
    <w:p>
      <w:r>
        <w:t>En second lieu, le recourant conteste le passage de l’ordonnance indiquant qu’il aurait mis en contact V.________ et O.________. Or, contrairement à ce que soutient le recourant, les passages de l’ordonnance incriminés ne concernent pas la première prise de contact entre les deux prénommés, qui a eu lieu en 2016 par M.________, mais la rencontre qui a eu lieu quelques jours après le brigandage, dont il a été fait mention ci-avant (cf. ch. 3.2.1). Mal fondé, cet argument doit être rejeté. En définitive, au vu des éléments qui précèdent, il existe de très forts soupçons que le recourant ait participé au braquage du convoi de fonds de [...], de sorte que la première condition de l’art. 221 al. 1 CPP est réalisée.</w:t>
      </w:r>
    </w:p>
    <w:p>
      <w:r>
        <w:rPr>
          <w:b/>
        </w:rPr>
        <w:t>E. 4.1</w:t>
      </w:r>
    </w:p>
    <w:p>
      <w:r>
        <w:t>Le recourant conteste le risque de collusion retenu, qui serait abstrait. Il soutient que le Tribunal des mesures de contrainte ne pouvait pas se référer à ses précédentes ordonnances et à l’arrêt de la Chambre des recours pénale du 7 mai 2020. Il fait valoir que l’autorité de première instance ne démontre pas qu’entre sa première audition en tant que personne appelée à donner des renseignements et son interpellation, il aurait entravé l’instruction en cours, preuve en est qu’il aurait conservé à son domicile des effets appartenant à M.________, dont le billet évoqué plus haut (cf. ch. 3.2.1) ; en outre, il aurait donné son accord à ce que les données soient extraites de son téléphone portable et de son ordinateur, et donné son code d’accès. Enfin, la quasi-totalité des auteurs auraient été appréhendés, en Suisse et en France.</w:t>
      </w:r>
    </w:p>
    <w:p>
      <w:r>
        <w:rPr>
          <w:b/>
        </w:rPr>
        <w:t>E. 4.2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op. cit.,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 TF 1B_339/2019 du 26 juillet 2019 consid. 3.1 ; TF 1B_536/2018 du 21 décembre 2018 consid. 5.1). Plus l'instruction se trouve à un stade avancé et les faits sont établis avec précision, plus les exigences relatives à la preuve de l'existence d'un risque de collusion sont élevées (ATF 137 IV 122 consid. 4.2 ; ATF 132 I 21 consid. 3.2.2 ; TF 1B_536/2018 du 21 décembre 2018 consid. 5.1).</w:t>
      </w:r>
    </w:p>
    <w:p>
      <w:r>
        <w:rPr>
          <w:b/>
        </w:rPr>
        <w:t>E. 4.3.1</w:t>
      </w:r>
    </w:p>
    <w:p>
      <w:r>
        <w:t>S’agissant du risque de collusion, le Tribunal des mesures de contrainte a indiqué que rien ne venait modifier l’appréciation faite dans ses précédentes ordonnances et dans l’arrêt de la Chambre des recours pénale du 7 mai 2020. Il convient d’emblée de relever que, selon la jurisprudence du Tribunal fédéral rendue en matière de prolongation de la détention provisoire, une motivation par renvoi à de précédentes décisions est admissible pour autant que le recourant soit à même de faire valoir efficacement ses objections. Dans tous les cas, il faut que les motifs auxquels il est renvoyé soient développés de manière suffisante au vu des exigences du droit d'être entendu garanti par l’art. 29 al. 2 Cst. (Constitution fédérale de la Confédération suisse du 18 avril 1999 ; RS 101) et que l’instruction de la cause n’ait pas évolué de manière déterminante depuis la précédente décision (TF 1B_508/2018 du 4 décembre 2018 consid. 3.2.1 ; TF 1B_247/2015 du 4 août 2015 consid. 2 ; TF 1B_295/2014 du 23 septembre 2014 consid. 2.3 et les réf. cit. ; TF 1B_149/2010 du 1 er juin 2010 et les réf. cit.; CREP 17 mai 2016/320 consid. 3.2.2 ; CREP 27 mai 2015/366 consid. 2.3). Aucune circonstance de nature à justifier une nouvelle appréciation de la situation n’est donnée in casu , ce d’autant moins que le premier juge ne s’est pas simplement référé à ses décisions antérieures mais qu’il est revenu sur les différents points pris en considération. En l’espèce, le risque de collusion est toujours sérieux et concret. En effet, l’enquête contre le prévenu ne remonte pas à deux ans mais à novembre 2019, puisque U.________ a été appréhendé le 22 novembre 2019. Certes, comme relevé dans l’arrêt de la Chambre des recours pénale du 7 mai 2020, le fait que l’ADN du recourant ait été retrouvé sur les lieux d’une autre attaque de fourgon à [...] en janvier 2017 ne peut pas être pris en compte au stade actuel de la procédure, qui concerne le brigandage de [...]. Il n’empêche qu’il existe à ce stade de nom­breuses zones d’ombre quant à la véritable implication du recourant, tous les protagonistes de ce braquage n’ayant pas encore été appréhendés et le butin n’ayant pas été retrouvé. O.________, en particulier, est toujours en fuite. Alors que des investigations sont actuel­lement en cours, qu’une nouvelle audition de V.________, incarcéré en France, devra être agendée dès que la situation sanitaire française et suisse le permettra, que deux auditions de confrontation doivent encore être organisées entre M.________, U.________ et deux personnes détenues en France, savoir [...] et V.________, et que le Ministère public devra encore procéder à une audition récapitulative avec chaque prévenu, il est primordial d’éviter que le recourant, directement mis en cause par M.________, principal prévenu qui s’est lui-même auto-incriminé, et très proche de V.________, tente de compro­mettre la recherche de la vérité en mettant au point avec ses comparses une version des faits qui lui serait plus favorable ou qui serait plus favorable à un tiers. Le risque que le recourant interfère dans cette recherche de la vérité est d’autant plus important que celui-ci a déjà modifié sa version au fur et à mesure de ses auditions successives en fonction des éléments et des contradictions qui lui étaient soumises. Les conditions de l’art. 221 al. 1 CPP étant alternatives (TF 1B_249/2011 du 7 juin 2011 consid. 2.4), l’existence d’un risque de collusion dispense la Cour de céans d’examiner si la détention provisoire s’impose également en raison d’un autre risque.</w:t>
      </w:r>
    </w:p>
    <w:p>
      <w:r>
        <w:rPr>
          <w:b/>
        </w:rPr>
        <w:t>E. 5.1</w:t>
      </w:r>
    </w:p>
    <w:p>
      <w:r>
        <w:t>Le recourant invoque une violation du principe de la proportionnalité. Il requiert la mise en œuvre des mesures de substitution proposées dans sa conclusion subsidiaire – le dépôt de ses papiers d’identité, son assignation à résidence, l’interdiction d’évoquer la procédure en cours avec quiconque, l’interdic­tion de chercher à entrer en contact de quelque manière que ce soit avec les personnes prévenues et entendues dans le cadre de la procédure, l’obligation de donner suite à toute convocation et l’obligation de communiquer au Ministère public un numéro de téléphone – , qui seraient, selon lui, à même de parer au risque de collusion retenu.</w:t>
      </w:r>
    </w:p>
    <w:p>
      <w:r>
        <w:rPr>
          <w:b/>
        </w:rPr>
        <w:t>E. 5.2</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143 IV 168 consid. 5.1 ; ATF 133 I 168 consid. 4.1 ; ATF 132 I 21 consid. 4.1). Toutefois, le fait que la peine encourue puisse être assortie du sursis, total ou partiel, n'est pas déterminant sous l'angle de la proportionnalité (ATF 133 I 270 consid. 3.4.2).</w:t>
      </w:r>
    </w:p>
    <w:p>
      <w:r>
        <w:rPr>
          <w:b/>
        </w:rPr>
        <w:t>E. 5.3</w:t>
      </w:r>
    </w:p>
    <w:p>
      <w:r>
        <w:t>En l’espèce, quoi que dise le recourant, les mesures de substitution proposées ne sont à l’évidence pas propres à prévenir efficacement la réalisation du risque de collusion constaté. Au vu de la gravité des faits reprochés et de l’implica­tion du recourant dans le braquage litigieux, il est essentiel qu’il ne puisse pas interférer dans l’enquête en cours. Son simple engagement de ne pas entrer en contact de quelque manière que ce soit avec les autres prévenus et avec toutes les personnes entendues dans le cadre de la présente instruction pénale est manifestement insuffisant pour l’empêcher de communiquer, même indirecte­ment, avec les autres protagonistes du braquage litigieux et de tenter de les influen­cer dans leurs déclarations, et le respect d’un tel engagement est totalement invéri­fiable. Il en va de même du dépôt de ses papiers d’identité et d’une assignation à résiden­ce, ces mesures n’étant à l’évidence pas de nature à permettre d’empê­cher effica­cement toute prise de contact avec les autres prévenus et les personnes entendues dans le cadre de la présente enquête. Enfin, force est de constater qu’aucune autre mesure que la détention provisoire du recourant n’est de nature à contenir valable­ment le risque de collusion retenu.</w:t>
      </w:r>
    </w:p>
    <w:p>
      <w:r>
        <w:rPr>
          <w:b/>
        </w:rPr>
        <w:t>E. 5.4</w:t>
      </w:r>
    </w:p>
    <w:p>
      <w:r>
        <w:t>Au regard de la gravité des faits reprochés, pouvant s’avérer, à ce stade, constitutifs de brigandage qualifié, perpétré au moyen d’arme à feu, en bande et de façon particulièrement dangereuse, le recourant s’expose concrè­tement à une peine priva­tive de liberté d’un an au moins (cf. art. 140 ch. 2 CP), soit plus importante que la période de détention provisoire qu’il aura subie le 22 août 2020. Partant, le principe de la proportionnalité est respecté (art. 212 al. 3 CPP).</w:t>
      </w:r>
    </w:p>
    <w:p>
      <w:r>
        <w:rPr>
          <w:b/>
        </w:rPr>
        <w:t>E. 6</w:t>
      </w:r>
    </w:p>
    <w:p>
      <w:r>
        <w:t>En définitive, le recours interjeté par U.________, manifestement mal fondé, doit être rejeté sans échange d'écritures (art. 390 al. 2 CPP) et l'ordonnance attaquée confirmée. L’indemnité allouée au défenseur d’office de U.________ doit être arrêtée à 593 fr. 20, montant arrondi à 593 fr., correspondant à 3 heures de travail d’avocat breveté au tarif horaire de 180 fr., par 540 fr., plus des débours forfaitaires à concurrence de 2%, par 10 fr. 80 (art. 2 al. 1 let. a et 3bis RAJ [Règlement sur l'assistance judiciaire en matière civile du 7 décembre 2010 ; BLV 211.02.3], applicables par renvoi de l'art. 26b TFIP [Tarif des frais de procédure et indemnités en matière pénale du 28 septembre 2010 ; BLV 312.03.1]), et un montant correspondant à la TVA, par 42 fr. 40. Les frais de la procédure de recours, constitués en l'espèce de l'émolument d'arrêt (art. 422 al. 1 CPP), par 1'650 fr. (art. 20 al. 1 TFIP), et des frais imputables à la défense d'office (art. 422 al. 1 et 2 let. a CPP), fixés à 593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20 mai 2020 est confirmée. III. L’indemnité allouée au défenseur d’office de U.________ est fixée à 593 fr. (cinq cent nonante-trois francs). IV. Les frais d’arrêt, par 1'650 fr. (mille six cent cinquante francs), ainsi que l’indemnité due au défenseur d’office de U.________, par 593 fr. (cinq cent nonante-trois francs), sont mis à la charge de ce dernier. V. Le remboursement à l'Etat de l'indemnité allouée au chiffre III ci-dessus ne sera exigible que pour autant que la situation financière de U.________ le permette. VI. L’arrêt est exécutoire. Le président :               La greffière : Du Le présent arrêt, dont la rédaction a été approuvée à huis clos, est notifié, par l'envoi d'une copie complète, à : - Me Pierre-Alain Killias, avocat (pour U.________), - Ministère public central, et communiqué à : ‑ Mme la Présidente du Tribunal des mesures de contrainte,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