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43 vom 20. Januar 2020</w:t>
      </w:r>
    </w:p>
    <w:p>
      <w:r>
        <w:t>VD Tribunal cantonal, 2020-01-20, FR</w:t>
      </w:r>
    </w:p>
    <w:p>
      <w:r>
        <w:rPr>
          <w:b/>
        </w:rPr>
        <w:t xml:space="preserve">Quelle: </w:t>
      </w:r>
      <w:r>
        <w:t>https://mcp.opencaselaw.ch/entscheid/vd_findinfo_D_cision___2020___43</w:t>
      </w:r>
    </w:p>
    <w:p>
      <w:r>
        <w:t>FR: VD_FINDINFO Décision / 2020 / 43 du 20 janvier 2020</w:t>
      </w:r>
    </w:p>
    <w:p>
      <w:r>
        <w:t>IT: VD_FINDINFO Décision / 2020 / 43 del 20 gennaio 2020</w:t>
      </w:r>
    </w:p>
    <w:p>
      <w:pPr>
        <w:pStyle w:val="Heading2"/>
      </w:pPr>
      <w:r>
        <w:t>Regeste</w:t>
      </w:r>
    </w:p>
    <w:p>
      <w:r>
        <w:t>64a CP, 64b CP, 38 al. 1 LEP, 38 al. 2 LEP</w:t>
      </w:r>
    </w:p>
    <w:p>
      <w:pPr>
        <w:pStyle w:val="Heading2"/>
      </w:pPr>
      <w:r>
        <w:t>Erwägungen</w:t>
      </w:r>
    </w:p>
    <w:p>
      <w:r>
        <w:rPr>
          <w:b/>
        </w:rPr>
        <w:t>E. 1</w:t>
      </w:r>
    </w:p>
    <w:p>
      <w:r>
        <w:t>En vertu de l’art. 38 al. 1 LEP (Loi sur l’exécution des condamnations pénales du 4 juillet 2016;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Interjeté dans les formes et délais légaux (art. 385 al. 1 et 396 al. 1 CPP), par une partie ayant qualité pour recourir (art. 382 al. 1 CPP), contre une décision judiciaire susceptible de recours, le recours est recevable.</w:t>
      </w:r>
    </w:p>
    <w:p>
      <w:r>
        <w:rPr>
          <w:b/>
        </w:rPr>
        <w:t>E. 2.1</w:t>
      </w:r>
    </w:p>
    <w:p>
      <w:r>
        <w:t>Le recourant renouvelle en seconde instance presque à l’identique ses réquisitions présentées les 4 juin et 31 juillet 2019. Les premiers juges ont rejeté ces réquisitions de preuve. Ils ont d’abord considéré que les conclusions figurant dans le rapport d’expertise du 9 mai 2019 étaient suffisamment claires et étayées pour renoncer à entendre les auteures du rapport. Ils ont ensuite estimé que l’on peinait à saisir l’impact que les pièces requises en main de l’EMS seraient susceptibles d’avoir sur l’examen de la question litigieuse.</w:t>
      </w:r>
    </w:p>
    <w:p>
      <w:r>
        <w:rPr>
          <w:b/>
        </w:rPr>
        <w:t>E. 2.2.1</w:t>
      </w:r>
    </w:p>
    <w:p>
      <w:r>
        <w:t>Selon l’art. 389 al. 1 CPP, la procédure de recours se fonde sur les preuves administrées pendant la procédure préliminaire et la procédure de première instance. L’art. 389 al. 3 CPP règle les preuves complémentaires. Ainsi, l’autorité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(ATF 143 IV 380 consid. 1.1; TF 6B_1191/2019 du 4 décembre 2019 consid. 1.1).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ATF 136 I 229 consid. 5.3; TF 6B_1103/2016 du 15 juin 2017 consid. 2.1; Bénédict, in : Jeanneret/Kuhn/Perrier Depeursinge, Commentaire romand, Code de procédure pénale suisse [CR CPP], 2 e éd., Bâle 2019, n. 23 ad art. 139 CPP).</w:t>
      </w:r>
    </w:p>
    <w:p>
      <w:r>
        <w:rPr>
          <w:b/>
        </w:rPr>
        <w:t>E. 2.2.2</w:t>
      </w:r>
    </w:p>
    <w:p>
      <w:r>
        <w:t>Selon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TF 6B_607/2017 du 30 novembre 2017 consid. 2.1; TF 6B_1307/2015 du 9 décembre 2016 consid. 4.3.2). Si le juge se fonde sur une expertise dont les conclusions apparaissent douteuses sur des points essentiels et qu'il renonce à recueillir des preuves complémentaires, il peut commettre une appréciation arbitraire des preuves et violer l'art. 9 Cst. (ATF 142 IV 49 consid. 2.1.3; TF 6B_824/2018 précité; TF 6B_56/2018 du 2 août 2018 consid. 2.1). Savoir si une expertise est convaincante est une question d'interprétation des preuves.</w:t>
      </w:r>
    </w:p>
    <w:p>
      <w:r>
        <w:rPr>
          <w:b/>
        </w:rPr>
        <w:t>E. 2.3</w:t>
      </w:r>
    </w:p>
    <w:p>
      <w:r>
        <w:t>Le recourant ne soulève aucun moyen spécifique à l’appui de ses deux conclusions préalables portant sur l’administration de preuves. En particulier, il n’expose pas en quoi les motifs des premiers juges seraient erronés; il n’invoque pas non plus la violation de son droit d’être entendu ou de son droit à la preuve. S’il soutient certes, sur le fond, que c’est à tort que l’expertise retient l’existence d’un risque de récidive important, il n’expose pas en quoi les mesures d’instruction requises permettraient de parvenir à une autre appréciation. Dans ces conditions, les conclusions portant sur l’administration de preuves complémentaires en deuxième instance sont irrecevables. Au demeurant, même recevables, elles devraient être rejetées. En effet, la Cour de céans ne discerne pas quelles informations complémentaires elles pourraient fournir qui seraient susceptibles de remettre en cause l’appréciation des experts psychiatres quant à l’importance du risque de récidive en l’absence d’un cadre approprié.</w:t>
      </w:r>
    </w:p>
    <w:p>
      <w:r>
        <w:rPr>
          <w:b/>
        </w:rPr>
        <w:t>E. 3.1</w:t>
      </w:r>
    </w:p>
    <w:p>
      <w:r>
        <w:t>Invoquant une violation de l’art. 64a al. 1 CP, respectivement une application arbitraire de cette norme, le recourant fait grief aux premiers juges d’avoir considéré que les conditions à sa libération conditionnelle n’étaient pas réalisées. Il fait valoir que c’est sans aucun élément probant que l’autorité a retenu qu’il banalisait les actes pour lesquels il a été condamné et que son discours n’était pas sincère. Il soutient en effet que son thérapeute aurait relevé qu’il se montrait calme et poli, comme le mentionne l’expertise du 9 mai 2019. Il ressortirait en outre de cette expertise que le condamné s’était montré en mesure de régler un conflit avec un autre résident de l’EMS, qu’il respectait le cadre des sorties et l’abstinence à l’alcool et qu’il se montrait collaborant et compliant à la médication. Le recourant conteste en outre présenter un risque de récidive et critique l’appréciation des experts à cet égard.</w:t>
      </w:r>
    </w:p>
    <w:p>
      <w:r>
        <w:rPr>
          <w:b/>
        </w:rPr>
        <w:t>E. 3.2.1</w:t>
      </w:r>
    </w:p>
    <w:p>
      <w:r>
        <w:t>Selon l'art. 64a al. 1 CP, l'auteur est libéré conditionnellement de l’internement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l'art. 64a CP dépend d'un pronostic favorable. Elle ne pourra être ordonnée que s'il est hautement vraisemblable que l'intéressé se comportera correctement en liberté (ATF 142 IV 56 consid. 2.4; TF 6B_1147/2018 du 25 mars 2019 consid. 1.3.1; TF 6B_823/2018 du 12 septembre 2018 consid. 1.1). La condition de la prévisibilité d'une conduite correcte en liberté doit être appréciée par rapport aux seules infractions énumérées à l'art. 64 al. 1 CP (ATF 136 IV 165 consid. 2.1.1; TF 6B_823/2018 précité consid. 1.1).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et plus récemment TF 6B_823/2018 précité consid. 1.1). En matière de pronostic, le principe « in dubio pro reo » ne s'applique pas (ATF 137 IV 201 consid. 1.2; plus récemment TF 6B_823/2018 du 12 septembre 2018 consid. 1.1; TF 6B_130/2018 du 27 juin 2018 consid. 3.2; TF 6B_658/2019 du 17 juillet 2019 consid. 4.2).</w:t>
      </w:r>
    </w:p>
    <w:p>
      <w:r>
        <w:rPr>
          <w:b/>
        </w:rPr>
        <w:t>E. 3.2.2</w:t>
      </w:r>
    </w:p>
    <w:p>
      <w:r>
        <w:t>L’art. 64b al. 2 CP dispose que l'autorité prend la décision relative à la libération conditionnelle en se fondant sur un rapport de la direction de l'établissement (let. a), une expertise indépendante au sens de l'art. 56 al. 4 CP (let. b), l'audition d'une commission au sens de l'art. 62d al. 2 CP (let. c) et l'audition de l'auteur (let. d). L’expertise doit se déterminer sur la nécessité et les chances de succès d’un traitement, la vraisemblance que l’auteur commette d’autres infractions et la nature de celles-ci. Selon la jurisprudence rendue sous l’emprise de l’ancien droit, le critère formel de la date de l’expertise n’est pas en soi déterminant. Le juge peut se fonder sur une expertise relativement ancienne à condition que la situation n’ait pas changé entre-temps (ATF 128 IV 241 consid. 3.4 p. 247). Si, en revanche, par l’écoulement du temps et à la suite d’un changement de circonstances, l’expertise existante ne reflète plus l’état actuel, une nouvelle évaluation est indispensable (ATF 128 IV 241 consid. 3.4 p. 247). Contrairement au droit actuel (art. 64b al. 2 CP), l’ancien droit n’exigeait pas que la révision annuelle de l’internement se fonde sur une expertise. Selon la jurisprudence récente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(TF 6B_323/2014 du 10 juillet 2014 consid. 3 et les réf. cit.; TF 6B_413/2012 consid. 2.1 et les réf. cit., publié in SJ 2013 I 401; cf. aussi, sur tous ces points, CREP 19 juin 2018/ 474 consid. 2.3). Il n’y a pas lieu de s’écarter de cette jurisprudence qui est également applicable à la révision biennale visant à établir si les conditions d’une mesure thérapeutique institutionnelle sont remplies (art. 64b al. 1 let. b CP).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138 III 193 consid. 4.3.1, JdT 2012 II 489; ATF 129 I 49 consid. 4 p. 57; ATF 128 I 81 consid. 2 p. 86).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138 III 193 consid. 4.3.1, JdT 2012 II 489; cf. aussi, sur tous ces points, CREP 19 juin 2018/ 474 consid. 3.2.2).</w:t>
      </w:r>
    </w:p>
    <w:p>
      <w:r>
        <w:rPr>
          <w:b/>
        </w:rPr>
        <w:t>E. 3.3</w:t>
      </w:r>
    </w:p>
    <w:p>
      <w:r>
        <w:t>En l’espèce, le rapport d’expertise psychiatrique du 9 mai 2019, dont le Collège des Juges d’application des peines a fait siennes les conclusions, répond aux exigences posées par l’art. 56 al. 4 CP. Le recourant ne le conteste d’ailleurs pas. Les expertes, qui sont des spécialistes en psychiatrie, ont donné un avis clair et circonstancié en réponse aux questions qui leur étaient posées, s’agissant notamment de la probabilité que le condamné commette des actes de même nature et des risques encourus si l’intéressé devait être placé dans une institution de moindre sécurité. Le diagnostic posé par ces expertes rejoint celui émis par les spécialistes ayant précédemment déposé des rapports, avis sur la base desquels la libération conditionnelle de l’internement a été refusée au condamné lors de chaque examen annuel de la mesure. Certes, dans un courrier du 26 mai 2015 (complément d’expertise), dont se prévaut le recourant, un précédent expert avait estimé que, sous l’angle du risque de récidive, un placement institutionnel en milieu ouvert assorti d’une obligation de soins paraissait apporter les mêmes garanties que le régime actuel. Pour autant, il s’agit d’un avis remontant à plus de quatre ans et dont la pertinence a été infirmée par des événements inquiétants survenus depuis lors, lesquels avaient entraîné la cessation du placement du condamné en appartement communautaire et son retour en milieu institutionnel, à savoir à l’EMS [...]. Les éléments de mauvais pronostic en question étaient une proposition à caractère sexuel à l’une des intervenantes de l’institution où l’intéressé était placé, ainsi que la détention de matériel pornographique, étant précisé que le placement en appartement communautaire était notamment subordonné au maintien d’un bon comportement et au respect de l’interdiction de posséder du matériel pornographique. Par la suite, l’intéressé a proféré des insultes à l’égard d’un autre résident de l’institution, acte à raison duquel il a reçu un avertissement de la direction de l’établissement le 4 juin 2018. A défaut de toute violence physique ou sexuelle, ce comportement n’est certes pas gravissime. A lui seul, il ne saurait faire obstacle à la libération conditionnelle. Il n’en trahit pas moins une difficulté récurrente du condamné à se conformer au cadre qui lui est fixé. Il est vrai également que, selon le rapport du 6 octobre 2017 établi à l’issue de la rencontre interdisciplinaire tenue le 13 septembre 2017, les intervenants ont décidé du maintien du condamné à l’EMS [...], « un changement de lieu de vie à terme dans une autre structure de type foyer » étant néanmoins préconisé. Cette réserve, dont se prévaut le recourant, n’est toutefois pas de nature à contrebalancer les préavis de tous les intervenants, ainsi que les conclusions de la dernière expertise psychiatrique. Les experts de 2019 sont en effet circonspects quant à un allègement de la mesure, puisqu’ils relèvent qu’un EMS ordinaire n’offre pas une sécurité suffisante, notamment en raison de la proximité avec des résidentes et du fait que tout changement est susceptible d’entraîner chez l’expertisé des angoisses mal contenues auxquelles il pourrait alors faire face par un passage à l’acte. Il doit être déduit de cet avis que, pour l’heure, seul un cadre plus strict permet de maintenir un faible risque de récidive. Quant aux critiques émises par le recourant quant à la banalisation de ses actes et de son irrespects des interdits, elles tombent également à faux. En effet, d’une part, les premiers juges se limitent à reprendre les déclarations des thérapeutes et des intervenants; d’autre part, ils le font de manière circonstanciée, singulièrement en tenant compte des limitations, notamment intellectuelles, présentées par le recourant (cf. jugement, consid. 3b p. 10). Pour le reste, c’est à juste titre que les premiers juges ont retenu comme un facteur de mauvais pronostic que le condamné ne comprend pas les motifs de son internement et se pose en victime, comme le constate le rapport d’expertise psychiatrique du 9 mai 2019. De même, c’est à bon droit qu’ils ont considéré, avec les experts, que le condamné n’était pas en mesure de comprendre son trouble et les effets de celui-ci sur son comportement, ce qui constitue également un facteur de mauvais pronostic. Dans cette mesure, bien que relativement ancien, le rapport de la CIC du 17 octobre 2017 conserve toute sa pertinence, en présence d’un état de fait qui n’évolue guère au fil du temps, le rapport d’expertise psychiatrique du 9 mai 2019 constatant même un état stationnaire. Enfin, c’est à juste titre que les premiers juges ont considéré, sur la base des faits mis en exergue par le rapport d’expertise psychiatrique du 9 mai 2019 et après avoir entendu le condamné, que les regrets parfois exprimés par l’intéressé restaient pour l’essentiel centrés sur lui-même et que l’évocation d’une vengeance légitime pour expliquer certains de ses actes survenait encore régulièrement (jugement, consid. 3b p. 10). De même, c’est ainsi que l’empathie que le condamné témoigne à ses victimes paraît encore bien lacunaire (ibid.). Ces éléments cumulés ont mené les premiers juges à tenir le discours du condamné pour « ambivalent » (ibid.). Cette appréciation est cohérente avec le rapport d’expertise psychiatrique du 9 mai 2019, lequel établit un risque de réitération important à défaut de cadre, en raison notamment des faibles capacités d’introspection de l’expertisé. Il s’agit également de facteurs de mauvais pronostic.</w:t>
      </w:r>
    </w:p>
    <w:p>
      <w:r>
        <w:rPr>
          <w:b/>
        </w:rPr>
        <w:t>E. 3.4</w:t>
      </w:r>
    </w:p>
    <w:p>
      <w:r>
        <w:t>C’est ainsi à raison que les premiers juges ont déduit de ces éléments que les conditions posées par l’art. 64a al. 1, 1 re phrase, CP n’étaient pas réunies. Les facteurs de mauvais pronostic sont établis à satisfaction de droit et ne sont pondérés par aucun élément favorable. Aucune règle de conduite ou assistance de probation n’apparaît de nature à limiter le risque de récidive. Pour l’heure, ce risque ne peut être contenu dans un cadre moins strict que celui auquel le recourant est actuellement soumis. Au vu de ce qui précède, il n’est pas possible, en l’état du moins, de considérer comme hautement vraisemblable que le recourant se conduira correctement en liberté et ne commettra plus d’infractions contre la vie ou l’intégrité sexuelle qui ont justifié son internement. Il découle de ce qui précède que la décision dont est recours ne procède pas d’une fausse application de l’art. 64a al. 1 CP, a fortiori d’une appréciation arbitraire.</w:t>
      </w:r>
    </w:p>
    <w:p>
      <w:r>
        <w:rPr>
          <w:b/>
        </w:rPr>
        <w:t>E. 4</w:t>
      </w:r>
    </w:p>
    <w:p>
      <w:r>
        <w:t>En définitive, le recours, manifestement mal fondé, doit être rejeté sans échange d’écritures (art. 390 al. 2 CPP) et la décision entreprise confirmée. Le mandat du défenseur d’office ne prend fin qu’à l’épuisement des instances cantonales (CREP 19 décembre 2019/1023 consid. 7 et les réf. citées). Partant, la requête tendant à l’assistance judiciaire pour la procédure de recours est sans objet. Les frais de la procédure de recours, constitués en l’espèce de l’émolument d’arrêt, par 1’430 fr. (art. 20 al. 1 TFIP [Tarif des frais de procédure et indemnités en matière pénale du 28 septembre 2010; BLV 312.03.1]), et des frais imputables à la défense d’office (art. 422 al. 1 et 2 let. a CPP), fixés à 360 fr., auxquels il convient d’ajouter des débours forfaitaires à concurrence de 2 % (art. 3 bis al. 1 RAJ [Règlement du 7 décembre 2010 sur l'assistance judiciaire en matière civile; BLV 211.02.3], applicable par renvoi de l’art. 26b TFIP), par 7 fr. 20, plus la TVA, par 28 fr. 30, soit à 395 fr. 50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2 décembre 2019 est confirmée. III. L’indemnité allouée au défenseur d’office de Z.________ est fixée à 395 fr. 50 (trois cent nonante-cinq francs et cinquante centimes). IV. Les frais d’arrêt, par 1'650 fr. (mille six cent cinquante francs), ainsi que l’indemnité due au défenseur d’office de Z.________, par 395 fr. 50 (trois cent nonante-cinq francs et cinquante centimes), sont mis à la charge de ce dernier. V. Le remboursement à l’Etat de l’indemnité allouée au chiffre III ci-dessus ne sera exigible que pour autant que la situation financière de Z.________ le permette. VI. L’arrêt est exécutoire. Le président :               Le greffier : Du Le présent arrêt, dont la rédaction a été approuvée à huis clos, est notifié, par l'envoi d'une copie complète, à : - Me Claude-Alain Boillat, avocat (pour Z.________), - Ministère public central, et communiqué à : ‑ M. le Président du Collège des Juges d’application des peines, - M. le Procureur du Ministère public central, division affaires spéciales, - Office des curatelles et tutelles professionnelles, à l’att. de Mme [...], - Office d’exécution des peines (OEP/MES/961/CGY/MBD), - EMS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