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425 vom 26. Mai 2020</w:t>
      </w:r>
    </w:p>
    <w:p>
      <w:r>
        <w:t>VD Tribunal cantonal, 2020-05-26, FR</w:t>
      </w:r>
    </w:p>
    <w:p>
      <w:r>
        <w:rPr>
          <w:b/>
        </w:rPr>
        <w:t xml:space="preserve">Quelle: </w:t>
      </w:r>
      <w:r>
        <w:t>https://mcp.opencaselaw.ch/entscheid/vd_findinfo_D_cision___2020___425</w:t>
      </w:r>
    </w:p>
    <w:p>
      <w:r>
        <w:t>FR: VD_FINDINFO Décision / 2020 / 425 du 26 mai 2020</w:t>
      </w:r>
    </w:p>
    <w:p>
      <w:r>
        <w:t>IT: VD_FINDINFO Décision / 2020 / 425 del 26 maggio 2020</w:t>
      </w:r>
    </w:p>
    <w:p>
      <w:pPr>
        <w:pStyle w:val="Heading2"/>
      </w:pPr>
      <w:r>
        <w:t>Regeste</w:t>
      </w:r>
    </w:p>
    <w:p>
      <w:r>
        <w:t>RÉCUSATION, MINISTÈRE PUBLIC | 56 let. f CPP (CH), 58 CPP (CH), 59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ainsi compétente pour statuer sur les demandes de récusation présentées par O.________, celles-ci étant dirigées contre un membre du ministère public. Les deux demandes étant fondées sur les mêmes faits et étant dirigées contre la même procureure, elles peuvent au demeurant être traitées conjointement.</w:t>
      </w:r>
    </w:p>
    <w:p>
      <w:r>
        <w:rPr>
          <w:b/>
        </w:rPr>
        <w:t>E. 2.1.1</w:t>
      </w:r>
    </w:p>
    <w:p>
      <w:r>
        <w:t>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Dans le cadre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1B_257/2019 du 7 octobre 2019 consid. 2.2).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w:t>
      </w:r>
    </w:p>
    <w:p>
      <w:r>
        <w:rPr>
          <w:b/>
        </w:rPr>
        <w:t>E. 2.1.2</w:t>
      </w:r>
    </w:p>
    <w:p>
      <w:r>
        <w:t>Conformément à l’art. 58 al. 1 CPP, la récusation doit être demandée sans délai, dès que la partie a connaissance du motif de récusation. Selon la jurisprudence, même si la loi ne prévoit aucun délai particulier, il y a lieu d’admettre que la demande de récusation doit être formée aussitôt, c’est-à-dire dans les jours qui suivent la connaissance de la cause de récusation (TF 1B_384/2017 du 10 janvier 2018 consid. 4.2). Cette disposition reprend une pratique constante, selon laquelle la partie qui omet de se plaindre immédiatement de la prévention du magistrat et laisse le procès se dérouler sans intervenir agit de manière contraire à la bonne foi et voit ainsi son droit se périmer (ATF 140 I 271 consid. 8.4.3 ; TF 6B_540/2018 du 31 juillet 2018 consid. 2.2 ; Moreillon/Parein-Reymond, Code de procédure pénale, Petit commentaire, 2 e éd., Bâle 2016, n. 3 ad art. 58 CPP et les réf. citées). Le requérant doit ainsi faire valoir le motif de récusation invoqué dans un laps de temps d’au plus six ou sept jours depuis sa découverte ; un délai d’attente de deux à trois semaines est déjà excessif (TF 1B_512/2017 du 30 janvier 2018 consid. 3 ; TF 1B_60/2014 du 1 er mai 2014 consid. 2.2 et les réf. citées ; JdT 2015 III 113).</w:t>
      </w:r>
    </w:p>
    <w:p>
      <w:r>
        <w:rPr>
          <w:b/>
        </w:rPr>
        <w:t>E. 2.2</w:t>
      </w:r>
    </w:p>
    <w:p>
      <w:r>
        <w:t>En l’espèce, la requérante fait d’abord grief à la Procureure J.________ d’avoir conclu au rejet de sa demande de libération de la détention provisoire du 6 avril 2020 au motif, notamment, qu’il existait toujours un risque de collusion, faisant ainsi totalement fi du rapport final de police du 23 mars 2020, qui l’aurait pourtant mise hors de cause pour d’autres trafics de drogue que celui du 15 décembre 2019. La Procureure n’aurait ainsi pas pris en compte les éléments nouveaux apparus au cours de l’instruction, ce que démontrerait également le fait qu’elle avait indiqué dans ses déterminations que la prévenue était enceinte de 25 semaines alors qu’elle avait accouché le 1 er avril 2020. Cette attitude serait inacceptable et dénoterait une prévention de la part de la magistrate. La Cour de céans relève d’emblée que ce motif semble être invoqué tardivement, dans la mesure où il était connu de la requérante depuis plus d’un mois au moment du dépôt des demandes de récusation. Il paraît dès lors devoir être déclaré irrecevable. Quoi qu’il en soit, sur le fond, il devrait de toute manière être rejeté. En effet, les déterminations de la Procureure quant à la détention provisoire de la prévenue relèvent de l’appréciation et du droit, dont l’application doit être assurée par le recours aux voies de droit usuelles – dont a d’ailleurs fait usage la requérante en l’espèce – et non par une demande de récusation. Le fait que la prise de position du Ministère public était défavorable à la requérante ne fonde pas une suspicion de partialité ; d’ailleurs, elle a été suivie par le Tribunal des mesures de contrainte. Enfin, même à admettre une erreur, cela ne serait pas suffisant. La jurisprudence exige en effet que le magistrat commette des erreurs particulièrement lourdes ou répétées pour pouvoir retenir une prévention, ce qui n’est manifestement pas le cas en l’espèce.</w:t>
      </w:r>
    </w:p>
    <w:p>
      <w:r>
        <w:rPr>
          <w:b/>
        </w:rPr>
        <w:t>E. 2.3</w:t>
      </w:r>
    </w:p>
    <w:p>
      <w:r>
        <w:t>La requérante se plaint ensuite du fait qu’elle n’a été relaxée que le 11 mai 2020, alors que l’arrêt de la Chambre des recours pénale ordonnant sa mise en liberté a été notifié le 6 mai 2020. La Procureure J.________ n’aurait ainsi manifestement pas agi « sans retard », étant précisé que le 8 mai 2020 en début d’après-midi au plus tard, toutes les mesures de substitution auraient été mises en œuvre et que plus rien ne s’opposait donc à la délivrance de l’ordre de relaxation. En la gardant en détention trois jours supplémentaires sans qu’aucun motif le justifie, la magistrate aurait fait preuve d’un comportement déloyal et d’une prévention manifeste à son égard. Sur ce point, la chronologie détaillée des événements – rappelée par la requérante elle-même et reproduite dans l’état de fait du présent arrêt – suffit à démontrer que la Procureure n’a pas tardé dans ses démarches. Il était en effet nécessaire que celle-ci s’assure, avant de libérer O.________, de la mise en œuvre des mesures de substitution ordonnées par la Chambre des recours pénale. En ce sens, on ne peut en particulier pas lui reprocher d’avoir attendu d’être en possession de l’ensemble des documents d’identité de la prévenue avant de relâcher cette dernière. Or, à réception du permis de séjour le 11 mai 2020, la Procureure a délivré, dans la matinée encore, l’ordre de relaxation d’O.________. On ne saurait ainsi voir, dans les arguments soulevés ou de manière générale, des indices qui feraient redouter une activité partiale ou une quelconque prévention de la Procureure J.________ à l’égard de la requérante.</w:t>
      </w:r>
    </w:p>
    <w:p>
      <w:r>
        <w:rPr>
          <w:b/>
        </w:rPr>
        <w:t>E. 3</w:t>
      </w:r>
    </w:p>
    <w:p>
      <w:r>
        <w:t>Il s’ensuit que les demandes de récusation présentées par O.________ à l’encontre de la Procureure J.________ doivent être rejetées dans la mesure de leur recevabilité. Les frais de la présente procédure, constitués de l’émolument de décision (art. 422 al. 1 CPP), par 1'320 fr. (art. 20 al. 1 TFIP [Tarif des frais de procédure et indemnités en matière pénale du 28 septembre 2010 ; BLV 312.03.1]), et des frais imputables à la défense d’office (art. 422 al. 1 et 2 let. a CPP), fixés, sur la base des deux listes des opérations produites, à 900 fr., auxquels il convient d’ajouter des débours forfaitaires à concurrence de 2 % (art. 3bis al. 1 RAJ [Règlement sur l'assistance judiciaire en matière civile du 7 décembre 2010 ; BLV 211.02.3], applicable par renvoi de l’art. 26b TFIP), par 18 fr., plus la TVA, par 70 fr. 70, soit à 988 fr. 70 au total, arrondis à 989 fr., seront mis à la charge de la requérante, conformément à l’art. 59 al. 4, 2 e phrase, CPP. Le remboursement à l’Etat de l’indemnité allouée au défenseur d’office de la requérante ne sera toutefois exigible que pour autant que la situation financière de cette dernière le permette (art. 135 al. 4 let. a CPP). Par ces motifs, la Chambre des recours pénale prononce : I. Les demandes de récusation présentées les 11 et 12 mai 2020 par O.________ contre la Procureure J.________ dans les procédures PE19.022784-[...] et PE20.004644-[...] sont rejetées dans la mesure où elles sont recevables. II. L’indemnité allouée au défenseur d’office d’O.________ est fixée à 989 fr. (neuf cent huitante-neuf francs). III. Les frais de décision, par 1'320 fr. (mille trois cent vingt francs), ainsi que l’indemnité due au défenseur d’office d’O.________, par 989 fr. (neuf cent huitante-neuf francs), sont mis à la charge de cette dernière. IV. Le remboursement à l'Etat de l'indemnité allouée au chiffre II ci-dessus ne sera exigible que pour autant que la situation financière d’O.________ le permette. V. La décision est exécutoire. Le président : La greffière : Du La présente décision, dont la rédaction a été approuvée à huis clos, est notifiée, par l'envoi d'une copie complète, à : - Me Fabien Mingard, avocat (pour O.________), - Ministère public central, et communiquée à : - Mme la Procureure cantonale Strada,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