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402 vom 13. Mai 2020</w:t>
      </w:r>
    </w:p>
    <w:p>
      <w:r>
        <w:t>VD Tribunal cantonal, 2020-05-13, FR</w:t>
      </w:r>
    </w:p>
    <w:p>
      <w:r>
        <w:rPr>
          <w:b/>
        </w:rPr>
        <w:t xml:space="preserve">Quelle: </w:t>
      </w:r>
      <w:r>
        <w:t>https://mcp.opencaselaw.ch/entscheid/vd_findinfo_D_cision___2020___402</w:t>
      </w:r>
    </w:p>
    <w:p>
      <w:r>
        <w:t>FR: VD_FINDINFO Décision / 2020 / 402 du 13 mai 2020</w:t>
      </w:r>
    </w:p>
    <w:p>
      <w:r>
        <w:t>IT: VD_FINDINFO Décision / 2020 / 402 del 13 maggio 2020</w:t>
      </w:r>
    </w:p>
    <w:p>
      <w:pPr>
        <w:pStyle w:val="Heading2"/>
      </w:pPr>
      <w:r>
        <w:t>Regeste</w:t>
      </w:r>
    </w:p>
    <w:p>
      <w:r>
        <w:t>NON-LIEU, ENQUÊTE PÉNALE, PLAINTE PÉNALE, PARTIE CIVILE, PLAIGNANT, INTÉRÊT JURIDIQUEMENT PROTÉGÉ, CONTRAINTE{DROIT PÉNAL}, CHANTAGE, FAUX TÉMOIGNAGE, ENTRAVE À L'ACTION PÉNALE | 156 ch. 1 CP, 22 ad 181 CP, 104 CPP (CH), 115 al. 1 CPP (CH), 310 CPP (CH)</w:t>
      </w:r>
    </w:p>
    <w:p>
      <w:pPr>
        <w:pStyle w:val="Heading2"/>
      </w:pPr>
      <w:r>
        <w:t>Erwägungen</w:t>
      </w:r>
    </w:p>
    <w:p>
      <w:r>
        <w:rPr>
          <w:b/>
        </w:rPr>
        <w:t>E. 1</w:t>
      </w:r>
    </w:p>
    <w:p>
      <w:r>
        <w:t>Interjetés dans le délai légal (art. 396 al. 1 CPP [Code de procédure pénale suisse du 5 octobre 2007 ; RS 312.0]) contre une ordonnance du Ministère public (art. 393 al. 1 let. a CPP), par des parties qui ont qualité pour recourir (art. 382 al. 1 CPP), auprès de l’autorité de recours compétente (art. 13 LVCPP [loi vaudoise d’introduction du Code de procédure pénale suisse du 19 mai 2009 ; BLV 312.01] ; art. 80 LOJV [loi d’organisation judiciaire du 12 décembre 1979 ; BLV 173.01]) et dans les formes prescrites (art. 385 al. 1 CPP), les recours déposés par D.________, Q.________ et I.________, en liquidation, sont recevables. Il en va de même des pièces nouvelles produites par D.________ et Q.________ à l’appui de leur recours (art. 390 al. 4 in fine CPP ; TF 1B_422/2014 du 20 janvier 2015 consid. 3.1 et la référence citée ; Moreillon/Parein-Reymond, Code de procédure pénale, Petit commentaire, 2 e éd., Bâle 2016, n. 8 ad art. 385 CPP).</w:t>
      </w:r>
    </w:p>
    <w:p>
      <w:r>
        <w:rPr>
          <w:b/>
        </w:rPr>
        <w:t>E. 2</w:t>
      </w:r>
    </w:p>
    <w:p>
      <w:r>
        <w:t>Recours d’D.________ et de Q.________</w:t>
      </w:r>
    </w:p>
    <w:p>
      <w:r>
        <w:rPr>
          <w:b/>
        </w:rPr>
        <w:t>E. 2.1</w:t>
      </w:r>
    </w:p>
    <w:p>
      <w:r>
        <w:t>Les recourants D.________ et Q.________ contestent le refus du Ministère public de leur accorder la qualité de partie plaignante dans la procédure et requièrent l’ouverture d’une instruction pénale sur les faits dénoncés.</w:t>
      </w:r>
    </w:p>
    <w:p>
      <w:r>
        <w:rPr>
          <w:b/>
        </w:rPr>
        <w:t>E. 2.2</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 tel est le cas notamment des représentants légaux, des héritiers du lésé, ainsi que des autorités et organisations habilitées à porter plainte, soit des personnes qui ne sont pas directement ou personnellement touchées par l'infraction.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(ATF 141 IV 1 consid. 3.1 ; TF 1B_372/2016 du 17 janvier 2017 consid. 3.1). La jurisprudence a de plus précisé que lors d'infractions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TF 1B_372/2016 du 17 janvier 2017 consid. 3.1 ; TF 6B_1315/2015 du 9 août 2016 consid. 1.2.1 et les arrêts cités). La qualité d'ayant droit économique ne fonde donc pas un intérêt juridiquement protégé, respectivement la qualité de partie plaignante (TF 6B_1207/2013 du 14 mai 2014 consid. 3.1.1 et 3.1.2 et les arrêts cités). Plus précisément, l'infraction d'extorsion et chantage de l'art. 156 CP est une infraction dont le bien juridiquement protégé est le patrimoine. Quant à l'infraction de contrainte (art. 181 CP), le bien juridiquement protégé est la liberté. Sur cet aspect, est considéré comme lésé celui dont la liberté de mouvement ou de décision est restreinte de manière illicite par l'infraction. Le lésé est celui que l'auteur oblige ou cherche à obliger à adopter un comportement déterminé qu'il n'aurait pas adopté s'il avait disposé de sa liberté de décision (CREP 9 septembre 2011/389).</w:t>
      </w:r>
    </w:p>
    <w:p>
      <w:r>
        <w:rPr>
          <w:b/>
        </w:rPr>
        <w:t>E. 2.3</w:t>
      </w:r>
    </w:p>
    <w:p>
      <w:r>
        <w:t>En l’espèce, comme l’a à juste titre relevé le procureur, le courrier litigieux a été adressé uniquement à I.________, sous les réserves d’usage. Ainsi, en cas de paiement de la somme demandée, selon la proposition formulée, il pourrait y avoir atteinte au patrimoine de la société I.________, et non à celui des recourants D.________ et Q.________, qui ne sont que des ayants droit économiques, actionnaires ou liquidateurs. Ceux-ci seraient en effet atteints indirectement, au sens de la jurisprudence précitée, et ne font pas valoir un intérêt juridiquement protégé, de sorte que la qualité de partie plaignante doit leur être déniée. Par ailleurs, que l’un ou l’autre des recourants puisse devoir payer une somme d’argent ne repose sur aucun élément en l’état du dossier. Enfin, cette démarche n’était pas susceptible de porter atteinte à la liberté d’action des recourants. Par ailleurs, les deux recourants ne font qu’émettre des supputations et fondent leur raisonnement sur des spéculations qui paraissent peu fondées, ce qui n’est pas suffisant pour leur reconnaître la qualité de partie plaignante. Le recourant D.________ relève que solliciter plus de deux millions de francs d’indemnités d’une société en liquidation paraîtrait voué à l’échec, puisqu’il serait évident que celle-ci ne pourrait pas payer. Le recourant en déduit que cette demande financière s’adresserait en priorité à lui-même et à Q.________, de sorte qu’elle aurait visé leur patrimoine. Il soutient aussi que la menace faite par H.________ de témoigner de manière plus ou moins large sur les faits concernant les diverses procédures pénales viserait directement les deux recourants, puisqu’ils sont parties aux procédures pénales suisses et portugaises et seraient donc directement atteints dans leur liberté personnelle par des allégations qui pourraient être mensongères, si la somme demandée n’était pas versée. Ces arguments ne sont pas pertinents. D’abord, on rappelle que le courrier litigieux n’était adressé qu’à I.________. Si cette société ne disposait pas du montant demandé, elle aurait simplement pu répondre par la négative à la proposition transactionnelle. Supputer qu’en cas d’acceptation, ce serait inévitablement aux deux liquidateurs de payer le montant convenu reviendrait à extrapoler des éléments qui ne ressortent pas du courrier litigieux et ne sont d’ailleurs pas démontrés par des éléments juridiques et financiers concrets. D’ailleurs, I.________ constitue une entité juridiquement indépendante des deux recourants. Ensuite, la potentielle mise en cause du recourant D.________ dans la déposition qu’aurait faite H.________ en cas de refus de la proposition relève de la spéculation. Comme l’a clairement relevé le procureur, le prévenu n’avait en réalité guère le choix, puisque répondre conformément à la vérité à une convocation des autorités pénales est une obligation légale. De plus, un faux témoignage constituerait un crime, infraction qui serait alors sanctionnée a posteriori . On peut en outre se demander si la préoccupation de H.________ n’était pas d’éviter de se retrouver en porte-à-faux avec les ordonnances civiles rendues par la Chambre patrimoniale cantonale lui interdisant un certain nombre de comportements. De toute manière, ce litige oppose H.________ à I.________, et non au recourant personnellement. En ce qui concerne le recours de Q.________, celui-ci soutient avoir été touché personnellement par les enquêtes pénales menées au Portugal et en Suisse. En particulier, il serait touché dans la mesure où H.________ aurait transmis des informations relatives au groupe I.________ qui contiendraient également des données impliquant directement le recourant. A cet égard, le recourant ne démontre nullement que les allégations transmises à la presse l’auraient visé spécifiquement, et non la société I.________ en elle-même. Certes, la proposition de H.________ dans le courrier litigieux était de garder le silence sur tous les éléments dont il avait eu connaissance dans le cadre du groupe I.________, « y compris [concernant] leurs dirigeants respectifs ». Toutefois, comme on l’a vu précédemment, la proposition litigieuse visait uniquement le patrimoine de la personne morale, de sorte que la qualité de partie plaignante ne peut pas être accordée aux associés, ayants droit, créanciers et autres dirigeants. En définitive, l’ordonnance refusant la qualité de partie plaignante à D.________ et Q.________ est bien fondée et doit être confirmée, ce qui rend inutile l’examen des moyens soulevés par les recourants contre le refus d’entrer en matière sur leur plainte.</w:t>
      </w:r>
    </w:p>
    <w:p>
      <w:r>
        <w:rPr>
          <w:b/>
        </w:rPr>
        <w:t>E. 3</w:t>
      </w:r>
    </w:p>
    <w:p>
      <w:r>
        <w:t>Recours d’I.________ en liquidation</w:t>
      </w:r>
    </w:p>
    <w:p>
      <w:r>
        <w:rPr>
          <w:b/>
        </w:rPr>
        <w:t>E. 3.1</w:t>
      </w:r>
    </w:p>
    <w:p>
      <w:r>
        <w:t>La recourante I.________ conteste le refus du Ministère public d’entrer en matière sur les faits objets de sa plainte pénale.</w:t>
      </w:r>
    </w:p>
    <w:p>
      <w:r>
        <w:rPr>
          <w:b/>
        </w:rPr>
        <w:t>E. 3.2.1</w:t>
      </w:r>
    </w:p>
    <w:p>
      <w:r>
        <w:t>Conformément à l'art. 310 al. 1 let. a CPP, le ministère public rend immédiatement – c'est-à-dire sans qu'une instruction soit ouverte (art. 309 al. 1 et 4 CPP ; TF 1B_111/2012 du 5 avril 2012 consid. 2.1 ; Grodecki/Cornu, in : Jeanneret/Kuhn/Perrier Depeursinge [éd.], Code de procédure pénale suisse, Commentaire romand,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Dans cette mesure, le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s’applique sous l’angle de l’art. 310 CPP (Grodecki/Cornu, op. cit., n. 10b ad art. 310 CPP).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précité consid. 2.1.2 ; ATF 117 IV 445 consid. 2b ; ATF 106 IV 125 consid. 2a) ni que l'auteur ait réellement la volonté de réaliser sa menace (TF 6B_415/2018 précité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précité consid. 2.1.2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consid. 2a et les arrêts cités ; TF 6B_415/2018 précité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 TF 6B_415/2018 du 20 septembre 2018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 2.1.3 et les arrêts cités). Sur le plan subjectif, il faut que l'auteur ait agi intentionnellement, c'est-à-dire qu'il ait voulu contraindre la victime à adopter le comportement visé en étant conscient de l'illicéité de son comportement ; le dol éventuel suffit (ATF 120 IV 17 consid. 2c ; TF 6B_415/2018 précité consid. 2.1.3).</w:t>
      </w:r>
    </w:p>
    <w:p>
      <w:r>
        <w:rPr>
          <w:b/>
        </w:rPr>
        <w:t>E. 3.2.3</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(Dupuis et al., Petit Commentaire, Code pénal, 2 e éd., Bâle 2017, nn. 1 ad art. 156 CP). La notion de contrainte est la même que celle figurant à l’art. 181 CP (TF 6B_47/2010 du 30 mars 2010 consid. 2.2). La contrainte est absorbée par l’extorsion et le chantage prévu à l'art. 156 CP (Dupuis et al., op. cit., nn. 33-34 ad art. 156 CP et n. 43 ad art. 181 CP).</w:t>
      </w:r>
    </w:p>
    <w:p>
      <w:r>
        <w:rPr>
          <w:b/>
        </w:rPr>
        <w:t>E. 3.2.4</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3.3</w:t>
      </w:r>
    </w:p>
    <w:p>
      <w:r>
        <w:t>Dans un premier moyen, la recourante invoque un déni de justice formel, au motif que le procureur n'aurait pas examiné si les faits décrits pouvaient également tomber sous le coup de l'instigation à faux témoignage ou de tentative d'entrave à l'action pénale, alors que ce sont des infractions poursuivies d'office et que la plainte du 11 octobre 2019 mentionnait « ainsi que toute autre infraction que l'enquête permettra de déterminer ». La recourante a déposé plainte pour tentative d'extorsion et tentative de contrainte. En ne mentionnant expressément aucune autre infraction si ce n'est la phrase type relevée ci-dessus, la recourante ne peut s'en prendre qu'à elle-même si les infractions qu'elle mentionne maintenant dans son recours n'ont pas fait l'objet d'une décision expresse. Ensuite, il n'est pas soutenable d'imposer à un procureur, en présence d'une phrase du type « toute autre infraction que l'enquête permettra de déterminer » de lui imposer de statuer sur toutes les infractions du Code pénal et des lois pénales pour motiver et confirmer qu'elles ne sont pas réalisées. Enfin, le procureur a en réalité statué sur les infractions mentionnées dans la plainte de la recourante puisque le chiffre II du dispositif dit que le Ministère public n'entre pas en matière « sur les faits décrits dans la plainte pénale du 11 octobre 2019 ». Le moyen est donc infondé.</w:t>
      </w:r>
    </w:p>
    <w:p>
      <w:r>
        <w:rPr>
          <w:b/>
        </w:rPr>
        <w:t>E. 3.4</w:t>
      </w:r>
    </w:p>
    <w:p>
      <w:r>
        <w:t>Dans un deuxième moyen, la recourante invoque un déni de justice matériel et une constatation incomplète et erronée des faits. La recourante critique d'abord la rédaction du procureur, qui laisserait à penser que le prévenu H.________ serait « le bon » et la plaignante I.________ « la méchante », soit la manipulatrice. Les considérations de la recourante n'appartiennent qu'à elle et, contrairement à ce qu'elle soutient, ne relèvent pas de l'arbitraire au sens de l'art. 393 al. 2 CPP. Certains termes utilisés par le procureur manquent peut-être de pondération et la description du contexte pourrait ne pas plaire à la recourante, mais peu importe, puisque, d'une part, il ne s'agit que d'une description succincte de multiples procédures complexes et, d'autre part, le recours ne peut pas porter sur les motifs, mais uniquement sur le dispositif (Moreillon/Parein-Reymond, CPP, 2 e éd., n. 9 ad art. 383 CPP). Ensuite, l'affirmation de la recourante selon laquelle le prévenu H.________ aurait tenté de monnayer son témoignage en suggérant que, faute de paiement de l'indemnité demandée, il pourrait apporter des éléments aux autorités pénales qu'il cacherait dans le cas contraire est une extrapolation du courrier litigieux. Quand bien même ce courrier est maladroit tant dans la forme que sur le fond, il n'en reste pas moins que, pour retenir une tentative d'extorsion ou de contrainte, il faudrait encore que des faits précis aient été annoncés. Or, tant du côté de la proposition du prévenu du 19 août 2019 que du côté des allégations de la recourante, on n'y trouve que des généralités, notamment : « […] mon client restera définitivement silencieux sur tous les aspects de son engagement auprès d'I.________ et des fonds gérés par le groupe I.________ […] ». On peut certes supposer que cette proposition visait à ne pas trop en dire aux autorités civiles, voire pénales, mais, comme le procureur l'a relevé, si le prévenu est questionné sur des faits précis, il ne pourra pas se soustraire aux réponses à donner, et encore moins mentir, faute de quoi cela ouvrirait la porte à un faux témoignage. Pour déterminer si tel était le cas, encore faut-il que l'interrogatoire de la justice porte sur des faits qu'elle veut instruire. Ne rien dire sur quelque chose que la justice ignore peut difficilement avoir une conséquence pour l'intéressé. Quant aux procédures civiles, elles interdisent au prévenu, à titre provisoire, de s'exprimer, ce qui rend sa situation inconfortable et pouvait justifier une proposition d'arrangement sous cet angle. La recourante conteste également ne pas avoir subi de dommage en lien avec le courrier et relève qu'elle est impliquée dans diverses procédures dans lesquelles elle collabore. Ainsi, la déposition du prévenu pourrait avoir une influence préjudiciable dans certains procès, ce qui devrait être reconnu. Le procureur a pour sa part considéré qu'il n'y avait pas de dommage à voir un ex-employé témoigner devant la justice pénale. Mais encore une fois, H.________ a indiqué qu'il proposait de garder le silence sur certains faits, peut-être devant les autorités civiles et peut-être devant les autorités pénales, mais cela ne change rien au fait que, interrogé en qualité de témoin, il devrait répondre et dire la vérité, au risque de se voir lui-même en mauvaise posture, d'autant plus s'il avait obtenu le montant de plus de 2 millions qu'il demandait. Pour le surplus, l’argumentaire développé par le procureur est adéquat et justifié. En particulier, les conséquences pratiques qui pourraient découler de la publicité des auditions dans la procédure pénale portugaise ne sauraient être qualifiées de dommage, tout comme les éventuelles prétentions que pourraient élever des tiers ensuite de potentielles publications dans la presse au sujet d’I.________. Partant, comme le procureur, on ne voit pas en quoi le fait que H.________ ait suggéré qu’il puisse témoigner devant le MPC et les autorités portugaises représenterait une menace d’un dommage sérieux. Partant, les éléments constitutifs des infractions ne paraissent manifestement pas réunis, de sorte qu'une enquête ne pourrait manifestement pas aboutir à une condamnation, alors que toutes les hypothèses de la recourante reposent sur des suppositions. Le principe in dubio pro duriore n’a donc pas été violé.</w:t>
      </w:r>
    </w:p>
    <w:p>
      <w:r>
        <w:rPr>
          <w:b/>
        </w:rPr>
        <w:t>E. 3.5</w:t>
      </w:r>
    </w:p>
    <w:p>
      <w:r>
        <w:t>La recourante plaide encore l'inopportunité de la décision au motif qu'elle a dû obtenir, au vu des réserves d'usage formulées sur le courrier litigieux, non seulement l'autorisation du Bâtonnier de l'Ordre des avocats vaudois, mais aussi la levée du secret professionnel de la « Chambre administrative » [ recte : Cour administrative] du Tribunal cantonal, ce qui démontrerait que la plainte serait bien fondée. Les décisions de ces personnes et instances ne lient ni le procureur, ni la Chambre de céans et ne peuvent donc avoir une incidence sur la suite à donner à la plainte pénale. Le moyen est infondé.</w:t>
      </w:r>
    </w:p>
    <w:p>
      <w:r>
        <w:rPr>
          <w:b/>
        </w:rPr>
        <w:t>E. 3.6</w:t>
      </w:r>
    </w:p>
    <w:p>
      <w:r>
        <w:t>Dans un dernier moyen, la recourante allègue que le procureur semble ne pas vouloir instruire tout ce qui a trait à cette affaire complexe, dont certains faits se sont déroulés à l'étranger, d'abord en ayant essayé de transmettre en vain une précédente enquête au Ministère public de la Confédération, ensuite en mettant plusieurs mois à rendre certaines décisions. Le Ministère public, en tant que direction de la procédure, est responsable de l'action publique et il lui incombe de conduire la procédure préliminaire (art. 16 et 61 let. a CPP). Il dispose donc de la compétence de choisir la manière dont il veut mener ses opérations d'enquête. Si les parties le contestent, elles disposent pour cela de voies de droit, notamment le recours pour déni de justice. A nouveau, les moyens de la recourante ne reposent que sur ses propres allégations et on ne voit pas en quoi celles-ci sont susceptibles de remettre en question le raisonnement du Ministère public. En définitive, c’est à bon droit que le Ministère public a refusé d’entrer en matière sur la plainte d’I.________ en liquidation.</w:t>
      </w:r>
    </w:p>
    <w:p>
      <w:r>
        <w:rPr>
          <w:b/>
        </w:rPr>
        <w:t>E. 4</w:t>
      </w:r>
    </w:p>
    <w:p>
      <w:r>
        <w:t>Au vu de ce qui précède, les recours déposés par D.________, Q.________ et I.________ en liquidation, doivent être rejetés sans échange d'écritures (art. 390 al. 2 CPP) et l’ordonnance du 5 mars 2020 confirmée. Les frais de la procédure de recours, constitués en l'espèce du seul émolument d'arrêt (art. 422 al. 1 CPP), par 2’090 fr. (art. 20 al. 1 TFIP [Tarif des frais de procédure et indemnités en matière pénale du 28 septembre 2010 ; BLV 312.03.1]), sont mis à la charge des recourants, qui succombent (art. 428 al. 1 CPP). Ils seront répartis par moitié à la charge d’I.________ en liquidation, soit par 1’045 fr., par un quart à la charge d’D.________, soit par 522 fr. 50, et par un quart à la charge de Q.________, soit par 522 fr. 50. Par ces motifs, la Chambre des recours pénale prononce : I. Les recours d’D.________, Q.________ et I.________ en liquidation sont rejetés. II. L’ordonnance du 5 mars 2020 est confirmée. III. Les frais d’arrêt, par 2’090 fr. (deux mille nonante francs), sont mis à la charge d’I.________ en liquidation par moitié, soit par 1’045 fr. (mille quarante-cinq francs), de Q.________ par un quart, soit par 522 fr. 50 (cinq cent vingt-deux francs et cinquante centimes), et d’D.________ par un quart, soit par 522 fr. 50 (cinq cent vingt-deux francs et cinquante centimes). IV. L’arrêt est exécutoire. Le président :               La greffière : Du Le présent arrêt, dont la rédaction a été approuvée à huis clos, est notifié, par l'envoi d'une copie complète, à : - Me Thierry Amy, avocat (pour I.________, en liquidation), - Me Stefan Disch, avocat (pour D.________), - Me Elie Elkaim, avocat (pour Q.________), - Ministère public central, et communiqué à : - M. le Procureur général adjoint,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