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391 vom 19. Mai 2020</w:t>
      </w:r>
    </w:p>
    <w:p>
      <w:r>
        <w:t>VD Tribunal cantonal, 2020-05-19, FR</w:t>
      </w:r>
    </w:p>
    <w:p>
      <w:r>
        <w:rPr>
          <w:b/>
        </w:rPr>
        <w:t xml:space="preserve">Quelle: </w:t>
      </w:r>
      <w:r>
        <w:t>https://mcp.opencaselaw.ch/entscheid/vd_findinfo_D_cision___2020___391</w:t>
      </w:r>
    </w:p>
    <w:p>
      <w:r>
        <w:t>FR: VD_FINDINFO Décision / 2020 / 391 du 19 mai 2020</w:t>
      </w:r>
    </w:p>
    <w:p>
      <w:r>
        <w:t>IT: VD_FINDINFO Décision / 2020 / 391 del 19 maggio 2020</w:t>
      </w:r>
    </w:p>
    <w:p>
      <w:pPr>
        <w:pStyle w:val="Heading2"/>
      </w:pPr>
      <w:r>
        <w:t>Regeste</w:t>
      </w:r>
    </w:p>
    <w:p>
      <w:r>
        <w:t>DÉTENTION PROVISOIRE, PROLONGATION, RISQUE DE RÉCIDIVE, SOUPÇON, MESURE DE SUBSTITUTION À LA DÉTENTION, PROPORTIONNALITÉ, DROIT D'ÊTRE ENTENDU | 29 al. 2 Cst., 221 al. 1 let. c CPP (CH), 237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2.7</w:t>
      </w:r>
    </w:p>
    <w:p>
      <w:r>
        <w:t>et les réf. cit.).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 ATF 137 IV 84 consid. 3.2 ; TF 1B_455/2016 du 9 décembre 2016 consid. 3.1).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1B_3/2019 précité).</w:t>
      </w:r>
    </w:p>
    <w:p>
      <w:r>
        <w:rPr>
          <w:b/>
        </w:rPr>
        <w:t>E. 3.1</w:t>
      </w:r>
    </w:p>
    <w:p>
      <w:r>
        <w:t>Dans un premier grief d’ordre formel, le recourant, invoquant une violation de son droit d’être entendu, reproche en substance au premier juge de ne pas avoir examiné à satisfaction les différents éléments pertinents du dossier en lien avec l’effectivité des mesures de substitution proposées eu égard à un prétendu risque de récidive, en particulier de ne pas avoir statué sur sa réquisition de preuve tendant à l’audition de son frère, dirigeant de la société B.M.________ Nettoyage.</w:t>
      </w:r>
    </w:p>
    <w:p>
      <w:r>
        <w:rPr>
          <w:b/>
        </w:rPr>
        <w:t>E. 3.2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ATF 133 I 201 consid. 2.2 ; TF 6B_868/2016 du 9 juin 2017 consid. 3). La Chambre des recours pénale dispose d'un pouvoir d'examen complet en fait et en droit, permettant de guérir un tel vice procédural (art. 391 al. 1 CPP ; CREP 29 juillet 2019/587 ; CREP 20 août 2013/530).</w:t>
      </w:r>
    </w:p>
    <w:p>
      <w:r>
        <w:rPr>
          <w:b/>
        </w:rPr>
        <w:t>E. 3.3</w:t>
      </w:r>
    </w:p>
    <w:p>
      <w:r>
        <w:t>En l’espèce, s’il est vrai que le Tribunal des mesures de contrainte n’a pas statué sur la réquisition du recourant tendant à l’audition de son frère quant aux modalités de mise en œuvre de son emploi auprès de son entreprise, le recourant a eu la faculté de faire valoir ses moyens devant une autorité de recours disposant d’un plein pouvoir d'examen, et qui peut ainsi contrôler librement la décision attaquée conformément à la jurisprudence fédérale mentionnée ci-dessus, de sorte que le vice formel allégué peut être réparé en procédure de recours. En effet, même si les déplacements du recourant pouvaient être surveillés par sa famille durant l’accomplissement de son travail – ce qui est logique, puisque le recourant ne dispose pas d’un permis de conduire –, et que celui-ci était très encadré durant ce travail, il n’empêche que cela ne suffirait pas à prévenir le risque de réitération (cf. infra consid. 5.3.1). L’audition requise ne serait donc pas de nature à modifier la décision.</w:t>
      </w:r>
    </w:p>
    <w:p>
      <w:r>
        <w:rPr>
          <w:b/>
        </w:rPr>
        <w:t>E. 4.1.1</w:t>
      </w:r>
    </w:p>
    <w:p>
      <w:r>
        <w:t>Dans son acte de recours, le recourant ne conteste pas formellement l’existence de forts soupçons de commission d’un crime ou d’un délit. Lors de ses auditions successives, il a toutefois contesté de manière constante avoir commis quoi que ce soit de répréhensible dans le cadre des différentes affaires ouvertes contre lui, sous réserve de l’enquête référencée sous AM19.[...], dans le cadre de laquelle, après avoir déclaré qu’on lui aurait volé son véhicule et le téléphone cellulaire qui s’y trouvait, il a finalement admis, devant les preuves matérielles avancées, en avoir été le conducteur.</w:t>
      </w:r>
    </w:p>
    <w:p>
      <w:r>
        <w:rPr>
          <w:b/>
        </w:rPr>
        <w:t>E. 4.1.2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 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3.2 ; ATF 137 IV 122 consid. 3.2 ; TF 1B_372/2017 du 26 septembre 2017 consid. 2.1 ; Chaix, op. cit., n. 6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précité ; ATF 124 I 208 consid. 3 ; TF 1B_308/2018 du 17 juillet 2018 consid. 2.1 ; Forster, in : Niggli/Heer/Wiprächtiger [éd.], Basler Kommentar, Schweizerische Strafprozessordnung, 2 e éd., Bâle 2014, n. 3 ad art. 221 CPP).</w:t>
      </w:r>
    </w:p>
    <w:p>
      <w:r>
        <w:rPr>
          <w:b/>
        </w:rPr>
        <w:t>E. 4.1.3</w:t>
      </w:r>
    </w:p>
    <w:p>
      <w:r>
        <w:t>En l’espèce, quand bien même le recourant conteste toute implication dans les deux brigandages et n’a finalement admis qu’une partie des faits qui lui sont reprochés dans le cadre de l’enquête AM19.[...], les soupçons portés à son encontre sont manifestement suffisants pour justifier son maintien en détention. En effet, s’agissant des événements du 8 juin 2019, outre le fait qu’il a été formellement reconnu par un témoin, les analyses ADN ont révélé qu’il était à l’origine des traces de sang présentes sur la portière conducteur du véhicule accidenté et ses empreintes digitales ont été retrouvées sur deux des plaques minéralogiques dérobées. S’agissant des événements survenus la nuit du 2 au 3 juillet 2019, le recourant a non seulement été reconnu par la victime, mais a également été mis en cause par certains de ses comparses pour avoir participé à ce brigandage et y avoir joué un rôle prédominant. S’agissant enfin des faits perpétrés dans la nuit du 30 au 31 juillet 2019, le recourant a clairement été mis en cause par ses deux comparses, qui ont fait des déclarations globalement concordantes, selon lesquelles, muni d’une cagoule, il se serait le premier approché de la victime en exhibant un pistolet soft air au moyen duquel il aurait tiré en l’air, aurait ordonné à la victime de s’asseoir et, après lui avoir pris son porte-monnaie, ses chaussures et son téléphone, lui aurait asséné à tout le moins une gifle. La police a en outre interpellé les trois suspects à proximité de l’endroit où a été découverte une partie du butin, ainsi qu’un spray au poivre et un couteau pliable. Cela étant, il existe en l’état des indices suffisants de commission de crimes – soit de deux brigandages, le cas échéant qualifiés – et de délits – à savoir des menaces et des infractions à la Loi fédérale sur la circulation routière (LCR ; RS 741.01) – pour justifier le maintien en détention du prévenu malgré les dénégations de celui-ci. La première condition de l’art. 221 al. 1 CPP apparaît ainsi réalisée.</w:t>
      </w:r>
    </w:p>
    <w:p>
      <w:r>
        <w:rPr>
          <w:b/>
        </w:rPr>
        <w:t>E. 4.2.1</w:t>
      </w:r>
    </w:p>
    <w:p>
      <w:r>
        <w:t>Le recourant soutient que sa situation aurait évolué et que le risque de réitération retenu ne serait plus aussi significatif que lors des phases antérieures de la procédure. Il fait valoir qu’il n’aurait jamais été poursuivi avant ces trois enquêtes, qui ne seraient pas révélatrices d’une escalade de la violence, et invoque le fait que son placement en détention provisoire l’aurait fait réfléchir. Il explique avoir en particulier suivi avec succès, de janvier à mars 2020, un programme sur la justice restaurative et qu’il aurait « développé [des] compétences de dialogue, d’empathie envers des victimes, de même qu’[…] intégré des mécanismes de planification lui permettant de se tenir à l’écart des délits et des délinquants ». Le fait d’être « passé par la case prison » aurait en outre « généré une forte prise de conscience ».</w:t>
      </w:r>
    </w:p>
    <w:p>
      <w:r>
        <w:rPr>
          <w:b/>
        </w:rPr>
        <w:t>E. 4.2.2</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2.7 ; TF 1B_3/2019 précité). Elle peut donc également se produire en cas de délits graves en matière de circulation tourière (ATF 143 IV 9 précité consid.</w:t>
      </w:r>
    </w:p>
    <w:p>
      <w:r>
        <w:rPr>
          <w:b/>
        </w:rPr>
        <w:t>E. 4.2.3</w:t>
      </w:r>
    </w:p>
    <w:p>
      <w:r>
        <w:t>En l’espèce, contrairement à ce que soutient le recourant et quand bien même il n’a pas d’antécédents, il y a bien une gradation inquiétante dans les actes délictueux commis, puisqu’en l’espace de trois mois, il est très fortement soupçonné d’avoir commis en qualité de meneur deux brigandages au cours desquels il n’a pas hésité à frapper ses victimes de plusieurs coups au visage et sur le corps dans le but d’obtenir ce qu’il voulait, dans des actes prémédités et préparés, après avoir commis des infractions à la LCR non moins inquiétantes. A cet égard, il ressort du rapport de police du 3 juillet 2019 (P. 30, p. 5) qu’il a manqué de renverser quatre piétons qui se trouvaient sur le trottoir après avoir perdu la maîtrise d’un véhicule qu’il conduisait sans permis, sans assurance responsabilité civile et sous de fausses plaques, mettant ainsi en danger leur vie et leur intégrité corporelle. Certes, il aurait été envisageable que la détention subie ait pu le faire mûrir et que le cours suivi sur la justice restaurative ait pu le responsabiliser. Toutefois, force est de constater que l’irrespect des lois et des personnes, ainsi que son inclination à la transgression des règles, n’ont pas subi d’évolution en dépit du fait qu’il ait suivi ledit cours et de ses allégations. En effet, entre le 21 janvier et le 30 mars 2020 – soit précisément aux dates où il suivait ledit cours – le recourant a fait l’objet de trois sanctions disciplinaires de la part de la direction de l’EDM « Aux Léchaires », pour deux épisodes où il a injurié et menacé le personnel de la prison et pour avoir commis des actes de trafic de cannabis (cf. P. 90, 101 et 111). Ces actes démontrent que, même détenu, le recourant persiste à faire preuve non seulement d’irrespect et d’impulsivité, mais encore de violence, notamment envers des personnes investies de l’autorité. Il résulte des éléments qui précèdent que le risque de réitération présenté par le recourant est à ce stade toujours suffisamment important et concret pour justifier son maintien en détention provisoire, étant précisé que les infractions qui lui sont reprochées, soit deux brigandages, le cas échéant qualifiés, et des infractions à la LCR qui ont été susceptibles de mettre significativement en danger la vie et l’intégrité corporelle de plusieurs personnes, sont très graves. Les conditions de l’art. 221 al. 1 CPP étant alternatives (TF 1B_249/2011 du 7 juin 2011 consid. 2.4), l’existence d’un risque de réitération dispense la Cour de céans d’examiner si la détention provisoire s’impose également en raison d’un autre risque.</w:t>
      </w:r>
    </w:p>
    <w:p>
      <w:r>
        <w:rPr>
          <w:b/>
        </w:rPr>
        <w:t>E. 5.1</w:t>
      </w:r>
    </w:p>
    <w:p>
      <w:r>
        <w:t>Le recourant soutient que les mesures de substitution proposées, à savoir l’obligation d’avoir une activité professionnelle à un taux d’activité de 100 %, obligation étant le cas échéant faite à son employeur de produire sur une base hebdomadaire ou mensuelle son relevé d’activité, son assignation à résidence en dehors de ses heures de travail, le cas échéant surveillée au moyen d’un bracelet électronique, et l’interdiction formelle d’entretenir, de quelque façon que ce soit, des relations et contacts avec J.________, F.________, L.________ et B.________, permettraient de pallier le risque retenu. Il invoque à cet égard la violation de son droit d’être entendu, reprochant au Tribunal des mesures de contrainte d’avoir refusé d’auditionner son frère, lequel avait signé une promesse d’embauche du 6 février 2020 et une attestation du 22 avril 2020 exposant les motifs pour lesquels le taux d’activité proposé avait passé de 50 % à 100 %, quand bien même le recourant avait dit qu’il y avait peu de travail pour lui lors d’une audition en 2019.</w:t>
      </w:r>
    </w:p>
    <w:p>
      <w:r>
        <w:rPr>
          <w:b/>
        </w:rPr>
        <w:t>E. 5.2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 L'art. 237 al. 3 CPP précise que, pour surveiller l'exécution de ces mesures, le tribunal peut ordonner l'utilisation d'appareils techniques qui peuvent être fixés à la personne sous surveillance. S’agissant de l’obligation d’avoir un travail régulier (art. 237 al. 2 let. e CPP), il y a lieu d’examiner l’attitude du prévenu en relation avec le travail avant la procédure pénale : l’obligation d’avoir un travail peut être jugée insuffisante à prévenir la récidive pour quelqu’un qui avait déjà un travail à plein temps au moment de la commission des infractions (TF 1B_223/2013 du 16 juillet 2013 consid. 4.2) ou si l’assiduité du prévenu quant à une activité professionnelle n’a jamais été suffisante (TF 1B_64/2012 du 21 février 2012 consid. 4.2).</w:t>
      </w:r>
    </w:p>
    <w:p>
      <w:r>
        <w:rPr>
          <w:b/>
        </w:rPr>
        <w:t>E. 5.3.1</w:t>
      </w:r>
    </w:p>
    <w:p>
      <w:r>
        <w:t>La Cour de céans considère, à l’instar du premier juge, que les mesures de substitution proposées par le recourant ne sont pas susceptibles de prévenir efficacement le risque de réitération constaté et qu’aucune autre mesure n’est à même d’y pallier valablement. En effet, s’il peut être donné acte au recourant que son frère a fourni des explications, notamment quant à la surveillance qu’il se propose d’instaurer de manière à ce qu’il exécute effectivement un travail à 100 % et que la bonne volonté de celui-ci ne saurait être mise en cause, la violence et l’extrême gravité des actes qui lui sont reprochés, à savoir deux brigandages qualifiés – même si l’intéressé conteste que les aggravantes de l’art. 140 CP (Code pénal suisse du 21 décembre 1937 ; RS 311.0) puissent être retenues –, celui-ci étant fortement soupçonné de n’avoir pas hésité à s’en prendre physiquement, en bande, à un inconnu dans la rue et à un trafiquant de drogue pour le « carotter », avec préméditation et détermination, pour un butin de quelques centaines de francs, doit inciter à la plus grande prudence. Quant aux infractions à la LCR, il ne ressort pas des déclarations du recourant, qui les a finalement admises, qu’il fasse preuve d’un quelconque regret ou amendement. En outre, au vu des actes récents ayant conduit aux trois sanctions disciplinaires précitées, on ne saurait dire que l’intéressé aurait, comme il le prétend, développé des mécanismes lui permettant de se maîtriser, d’une part, et effectué une forte prise de conscience, d’autre part. Ainsi, dans ce contexte très préoccupant, un éventuel emploi, même à un taux de 100 % et même suffisamment encadré par son frère au sein de son entreprise, ne serait pas de nature à empêcher le recourant de s’en prendre à nouveau à l’intégrité corporelle, la liberté et le patrimoine d’autrui. En effet, au vu de ce qui précède, il est à craindre que, durant son temps libre, le recourant se retrouve dans une situation similaire à celle qui prévalait lors de la commission des actes qui lui sont reprochés. Quant à l’assignation à résidence du recourant en dehors de ses heures de travail, qu’elle soit soumise ou non à une mesure de surveillance électronique, elle n’est pas non plus à même de contrer le risque de réitération retenu, cette mesure étant tout au plus susceptible de permettre de constater a posteriori qu’il s’est rendu à un endroit dont l’accès lui était interdit et ne permettant aucunement de prévenir un passage à l’acte ou d’intervenir suffisamment rapidement en cas de besoin (CREP 28 février 2020/149 ; CREP 24 avril 2019/319). Enfin, c’est à raison que le Tribunal des mesures de contrainte a retenu que l’interdiction d’entretenir des relations avec les autres prévenus et d’entrer en contact avec eux – mesure qui ne reposerait que sur la volonté du recourant de s’y conformer – n’était pas non plus de nature à exclure la commission de nouvelles infractions, le recourant ayant jusqu’à présent agi avec différents comparses, à l’exception d’J.________, voire seul en ce qui concerne les infractions à la LCR, de sorte qu’il est tout à fait envisageable qu’il s’entoure d’autres personnes pour commettre de nouvelles infractions à l’avenir, voire qu’il en commette seul. Ainsi, aucune des mesures de substitution proposées par le recourant n’apparaît en l’état apte à prévenir efficacement le risque de récidive retenu. Par ailleurs, la Cour de céans ne voit pas à ce stade d’autre mesure de substitution susceptible de constituer une garantie suffisante compte tenu de la gravité des faits qui sont reprochés au prévenu, de l’atteinte aux biens juridiques protégés considérée, à savoir la vie et l’intégrité corporelle, qui commandent de faire preuve de la plus grande prudence.</w:t>
      </w:r>
    </w:p>
    <w:p>
      <w:r>
        <w:rPr>
          <w:b/>
        </w:rPr>
        <w:t>E. 5.3.2</w:t>
      </w:r>
    </w:p>
    <w:p>
      <w:r>
        <w:t>Pour le surplus, si les soupçons à l’encontre du recourant devaient se confirmer, celui-ci s’exposerait concrètement, au regard de la gravité des faits qui lui sont reprochés, à une peine d’une durée nettement supérieure à la période de détention provisoire qu’il a subie à ce jour, respectivement qu’il aura subie le 29 mai 2020, de sorte que le principe de la proportionnalité demeure respecté. Enfin, la durée litigieuse d’un mois n’apparaît pas exagérée pour permettre au Ministère public d’engager l’accusation devant le tribunal compétent à l’issue du délai de prochaine clôture, qui a été prolongé au 30 avril 2020.</w:t>
      </w:r>
    </w:p>
    <w:p>
      <w:r>
        <w:rPr>
          <w:b/>
        </w:rPr>
        <w:t>E. 6</w:t>
      </w:r>
    </w:p>
    <w:p>
      <w:r>
        <w:t>Il résulte de ce qui précède que le recours, manifestement mal fondé, doit être rejeté sans échange d’écritures (art. 390 al. 2 CPP) et l’ordonnance attaquée confirmée. Les frais de la procédure de recours, constitués en l’espèce du seul émolument d’arrêt, par 1'870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29 avril 2020 est confirmée. III. Les frais d’arrêt, par 1’870 fr. (mille huit cent septante francs), sont mis à la charge d’A.M.________. IV. L’arrêt est exécutoire. Le président :               La greffière : Du Le présent arrêt, dont la rédaction a été approuvée à huis clos, est notifié, par l'envoi d'une copie complète, à : - Me Ludovic Tirelli, avocat (pour A.M.________), - Ministère public central, et communiqué à : ‑ Mme la Présidente du Tribunal des mesures de contrainte, - Mme la Procureure cantonale Strada, - M. R.________, - M. 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