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38 vom 20. Dezember 2019</w:t>
      </w:r>
    </w:p>
    <w:p>
      <w:r>
        <w:t>VD Tribunal cantonal, 2019-12-20, FR</w:t>
      </w:r>
    </w:p>
    <w:p>
      <w:r>
        <w:rPr>
          <w:b/>
        </w:rPr>
        <w:t xml:space="preserve">Quelle: </w:t>
      </w:r>
      <w:r>
        <w:t>https://mcp.opencaselaw.ch/entscheid/vd_findinfo_D_cision___2020___38</w:t>
      </w:r>
    </w:p>
    <w:p>
      <w:r>
        <w:t>FR: VD_FINDINFO Décision / 2020 / 38 du 20 décembre 2019</w:t>
      </w:r>
    </w:p>
    <w:p>
      <w:r>
        <w:t>IT: VD_FINDINFO Décision / 2020 / 38 del 20 dicembre 2019</w:t>
      </w:r>
    </w:p>
    <w:p>
      <w:pPr>
        <w:pStyle w:val="Heading2"/>
      </w:pPr>
      <w:r>
        <w:t>Regeste</w:t>
      </w:r>
    </w:p>
    <w:p>
      <w:r>
        <w:t>DÉCISION DE RENVOI, DÉCISION SUR FRAIS, FRAIS JUDICIAIRES, DÉPENS | 429 CPP (CH), 434 CPP (CH)</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sur le Tribunal fédéral du 17 juin 2005;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celui-ci a approuvé la motivation précédente que ceux sur lesquels il l'a désapprouvée. Il n'est pas possible de remettre en cause ce qui a été admis – même implicitement – par le Tribunal fédéral (Corboz, in : Commentaire de la LTF, 2 e éd., Berne 2014, n. 27 ad art. 107 LTF).</w:t>
      </w:r>
    </w:p>
    <w:p>
      <w:r>
        <w:rPr>
          <w:b/>
        </w:rPr>
        <w:t>E. 2</w:t>
      </w:r>
    </w:p>
    <w:p>
      <w:r>
        <w:t>Le Tribunal fédéral a renvoyé la cause à la cour cantonale pour nouvelle décision sur les frais et dépens de la procédure cantonale de recours clôturée par l’arrêt du 14 mars 2019. Le pouvoir d’examen de la Cour de céans découle de l’étendue du renvoi telle que circonscrite par l’arrêt fédéral.</w:t>
      </w:r>
    </w:p>
    <w:p>
      <w:r>
        <w:rPr>
          <w:b/>
        </w:rPr>
        <w:t>E. 3.1</w:t>
      </w:r>
    </w:p>
    <w:p>
      <w:r>
        <w:t>L’arrêt de la Cour de céans du 14 mars 2019 ayant été annulé par la juridiction fédérale, aucun frais ne saurait être perçu pour ce qui est de la procédure cantonale clôturée par cet arrêt, dès lors que l’annulation s’étend évidemment aux accessoires. Quant aux frais du présent arrêt, par 880 fr. (art. 422 al. 1 CPP et 20 al. 1 TFIP [tarif des frais de procédure et indemnités en matière pénale; BLV 312.03.1]), ils doivent être laissés à la charge de l’Etat conformément à l’art. 428 al. 4 CPP.</w:t>
      </w:r>
    </w:p>
    <w:p>
      <w:r>
        <w:rPr>
          <w:b/>
        </w:rPr>
        <w:t>E. 3.2.1</w:t>
      </w:r>
    </w:p>
    <w:p>
      <w:r>
        <w:t>Pour ce qui est des indemnités, il appert d’abord que A.V.________ et B.V.________ ont obtenu gain de cause en vertu de l’arrêt de renvoi du 24 octobre 2019. A.V.________ a été admise à la procédure en qualité de tiers touché par des actes de procédure (art. 105 al. 1 let. f CPP). B.V.________ a la qualité de prévenu. Ces parties ont chacune procédé avec l’assistance d’un avocat et ont étayé leurs prétentions en produisant un relevé d’opérations de leur mandataire. Dès lors, elles ont droit à des indemnités, respectivement en application de l’art. 434 CPP et de l’art. 429 CPP, applicables à la procédure de recours en vertu du renvoi de l’art. 436 al. 1 CPP. Ces indemnités doivent être mises à la charge de l’Etat.</w:t>
      </w:r>
    </w:p>
    <w:p>
      <w:r>
        <w:rPr>
          <w:b/>
        </w:rPr>
        <w:t>E. 3.2.2</w:t>
      </w:r>
    </w:p>
    <w:p>
      <w:r>
        <w:t>Dès lors que A.V.________ et B.V.________ ont obtenu gain de cause en vertu de l’arrêt de renvoi du 24 octobre 2019, les plaignants [...], [...], [...], [...] et [...] succombent à leur égard. Ils n’ont d’ailleurs pas pris de conclusion tendant au versement d’indemnités au sens de l’art. 433 CPP, également applicable à la procédure de recours en vertu du renvoi de l’art. 436 al. 1 CPP. Partant, aucune indemnité ne saurait leur être allouée. Ce qui précède s’applique mutatis mutandis au prévenu [...].</w:t>
      </w:r>
    </w:p>
    <w:p>
      <w:r>
        <w:rPr>
          <w:b/>
        </w:rPr>
        <w:t>E. 3.2.3</w:t>
      </w:r>
    </w:p>
    <w:p>
      <w:r>
        <w:t>Quant à la quotité des indemnités en faveur de A.V.________ et de B.V.________, il faut d’abord garder à l’esprit que l’objet de l’arrêt du 14 mars 2019 et de l’arrêt de renvoi du 24 octobre 2019 est limité à la question des séquestres prévus par l’ordonnance du 27 mars 2017. Les dépens ici en cause ne peuvent ainsi se rapporter qu’aux opérations spécifiquement afférentes à ces mesures, soit à leur levée. C’est donc à tort que les avocats de ces parties ont inclus dans les listes produites en reprise de cause des opérations ayant trait au dossier principal, à savoir à l’instruction dirigée contre B.V.________ et [...], respectivement c’est aussi à tort qu’ils ont mentionné des opérations déjà couvertes par les indemnités allouées par le Tribunal fédéral.</w:t>
      </w:r>
    </w:p>
    <w:p>
      <w:r>
        <w:rPr>
          <w:b/>
        </w:rPr>
        <w:t>E. 3.2.4</w:t>
      </w:r>
    </w:p>
    <w:p>
      <w:r>
        <w:t>Agissant pour A.V.________, Me Degni a déposé des déterminations le 18 janvier 2019, ainsi que le 22 novembre 2019 (P. 677 et 743). Agissant pour B.V.________, Me Pelot a déposé des déterminations les 18 et 24 janvier 2019, ainsi que le 22 novembre 2019 (P. 678, 684 et 745). Les déterminations de Me Degni du 18 janvier 2019 comportent des moyens solidement articulés relatifs à la levée des séquestres, sur quelque deux pages; les déterminations recueillies en reprise de cause comportent de vaines redites relatives au déroulement de la procédure et un bref moyen afférent au sort des frais. Les déterminations de Me Pelot du 18 janvier 2019 se limitent à renvoyer aux motifs de l’arrêt du Tribunal fédéral du 17 décembre 2018 et à formuler des conclusions, principales et subsidiaires, relatives à la levée des séquestres; spontanées, celles du 24 janvier 2019 comportent des moyens complémentaires sur le même objet; enfin, les déterminations recueillies en reprise de cause sont limitées au sort des frais. Pour les deux mandataires, il y a lieu de prendre en compte également la durée utile des quelques contacts avec le mandant en relation avec la question litigieuse. La durée d’activité raisonnable à prendre en compte est de dix heures d’avocat breveté pour chacun des deux mandataires.</w:t>
      </w:r>
    </w:p>
    <w:p>
      <w:r>
        <w:rPr>
          <w:b/>
        </w:rPr>
        <w:t>E. 3.2.5</w:t>
      </w:r>
    </w:p>
    <w:p>
      <w:r>
        <w:t>Au vu de la nature ordinaire de la question de la levée des séquestres, c’est un tarif horaire de 300 fr. (art. 26a al. 3 TFIP) qui doit être retenu, les tarifs horaires indiqués (450 fr. pour Me Degni et 400 fr. pour Me Pelot) étant largement excessifs, voire contraire à la fourchette fixée par la norme susmentionnée. La pratique de la Cour de céans est en effet de retenir un tarif horaire de 300 fr. pour les avocats de choix dans les causes qui ne présentent pas de difficultés particulières (cf. not. CREP 3 décembre 2019/933), ce tarif étant du reste qualifié d’usuel (Juge unique CREP 30 septembre 2019/793). Aux honoraires nets de 3'000 fr., il convient d’ajouter des débours forfaitaires à concurrence de 2 % (art. 19 al. 2 TDC [Tarif des dépens en matière civile du 23 novembre 2010; BLV 270.11.6], applicable par analogie par renvoi de l’art. 26a al. 6 TFIP) par 60 francs. Il y a lieu d’ajouter un montant correspondant à la TVA, sur le tout, au taux de 7,7 % (à défaut de toute opération antérieure au 1 er janvier 2018), par 235 fr. 65. L’indemnité s’élève ainsi à 3'295 fr. 65 pour chaque mandataire. Par ces motifs, la Chambre des recours pénale prononce : I. Une indemnité de 3'295 fr. 65 (trois mille deux cent nonante-cinq francs et soixante-cinq centimes), débours et TVA compris, est allouée à A.V.________ pour la procédure de recours, à la charge de l’Etat. II. Une indemnité de 3'295 fr. 65 (trois mille deux cent nonante-cinq francs et soixante-cinq centimes), débours et TVA compris, est allouée à B.V.________ pour la procédure de recours, à la charge de l’Etat. III. Les frais du présent arrêt, par 880 fr. (huit cent huitante francs), sont laissés à la charge de l’Etat. IV. L’arrêt est exécutoire. Le président :               Le greffier : Du Le présent arrêt, dont la rédaction a été approuvée à huis clos, est notifié, par l'envoi d'une copie complète, à : - Me Pierluca Degni, avocat (pour A.V.________), - Me Jean-David Pelot, avocat (pour B.V.________), - Mes Benjamin Borsodi, avocat (pour [...], [...], [...]), - Me Cedric Berger, avocat (pour [...]), - Me Lisa Locca, avocate (pour [...] et [...]), - Me Olivier Wehrli, avocat (pour [...]), - Ministère public central, et communiqué à : ‑ M. le Procureur du Ministère public central, division criminalité économique,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