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379 vom 13. Mai 2020</w:t>
      </w:r>
    </w:p>
    <w:p>
      <w:r>
        <w:t>VD Tribunal cantonal, 2020-05-13, FR</w:t>
      </w:r>
    </w:p>
    <w:p>
      <w:r>
        <w:rPr>
          <w:b/>
        </w:rPr>
        <w:t xml:space="preserve">Quelle: </w:t>
      </w:r>
      <w:r>
        <w:t>https://mcp.opencaselaw.ch/entscheid/vd_findinfo_D_cision___2020___379</w:t>
      </w:r>
    </w:p>
    <w:p>
      <w:r>
        <w:t>FR: VD_FINDINFO Décision / 2020 / 379 du 13 mai 2020</w:t>
      </w:r>
    </w:p>
    <w:p>
      <w:r>
        <w:t>IT: VD_FINDINFO Décision / 2020 / 379 del 13 maggio 2020</w:t>
      </w:r>
    </w:p>
    <w:p>
      <w:pPr>
        <w:pStyle w:val="Heading2"/>
      </w:pPr>
      <w:r>
        <w:t>Regeste</w:t>
      </w:r>
    </w:p>
    <w:p>
      <w:r>
        <w:t>PROPORTIONNALITÉ, ADMISSION DE LA DEMANDE, ORDONNANCE DE SÉQUESTRE | 263 al. 1 let. c CPP (CH), 263 al. 1 let. d CPP (CH)</w:t>
      </w:r>
    </w:p>
    <w:p>
      <w:pPr>
        <w:pStyle w:val="Heading2"/>
      </w:pPr>
      <w:r>
        <w:t>Erwägungen</w:t>
      </w:r>
    </w:p>
    <w:p>
      <w:r>
        <w:rPr>
          <w:b/>
        </w:rPr>
        <w:t>E. 1</w:t>
      </w:r>
    </w:p>
    <w:p>
      <w:r>
        <w:t>Selon l’art. 393 al. 1 let. a CPP,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 prévenu, qui a un intérêt juridique à l’annulation ou à la modification de l’ordonnance entreprise (art. 382 al. 1 CPP), et dans les formes prescrites (art. 385 al. 1 CPP), le recours de Sébastien Prahin est recevable. Les pièces nouvelles le sont également (art. 390 al. 4 in fine CPP ; Moreillon/Parein-Reymond, op. cit., n. 8 ad art. 385 CPP ; CREP 9 juillet 2012/427 consid. 1b et les réf. citées).</w:t>
      </w:r>
    </w:p>
    <w:p>
      <w:r>
        <w:rPr>
          <w:b/>
        </w:rPr>
        <w:t>E. 2.1</w:t>
      </w:r>
    </w:p>
    <w:p>
      <w:r>
        <w:t>Le recourant conteste qu’il ait pu savoir la provenance criminelle des montants qui lui étaient transférés. En outre, il conteste que la totalité des avoirs déposés sur son compte soient séquestrés, reprochant ainsi au Ministère public une violation du principe de proportionnalité.</w:t>
      </w:r>
    </w:p>
    <w:p>
      <w:r>
        <w:rPr>
          <w:b/>
        </w:rPr>
        <w:t>E. 2.2.1</w:t>
      </w:r>
    </w:p>
    <w:p>
      <w:r>
        <w:t>En application de l'art. 263 al. 1 CPP, des objets et des valeurs patrimoniales appartenant au prévenu ou à des tiers peuvent être mis sous séquestre notamment lorsqu’ils seront utilisés pour garantir le paiement des frais de procédure, des peines pécuniaires, des amendes et des indemnités (let. b) ou qu'ils devront être confisqués (let. d). 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in : Kuhn/Jeanneret [éd.], Commentaire romand, Code de procédure pénale suisse, 2 e éd., Bâle 2019, n. 22 ad art. 263 CPP). En outre, la mesure doit pouvoir être ordonnée rapidement, ce qui exclut la résolution de questions juridiques complexes ou que l’autorité attende d’être renseignée de manière exacte et complète sur les faits avant d’agir (ATF 141 IV 360 consid. 3.2).</w:t>
      </w:r>
    </w:p>
    <w:p>
      <w:r>
        <w:rPr>
          <w:b/>
        </w:rPr>
        <w:t>E. 2.2.2</w:t>
      </w:r>
    </w:p>
    <w:p>
      <w:r>
        <w:t>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 Moreillon/Parein-Reymond, op. cit., n. 17 ad art. 263 CPP et les réf. citées).</w:t>
      </w:r>
    </w:p>
    <w:p>
      <w:r>
        <w:rPr>
          <w:b/>
        </w:rPr>
        <w:t>E. 2.2.3</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 subsister (ATF 139 IV 250 consid. 2.1 ; ATF 137 IV 145 consid. 6.4 et les réf.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L’art. 71 al. 1 CP prévoit que,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de l’art. 70 al. 2 CP ne sont pas réalisées ; à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manière restrictive lorsque des tiers non enrichis sont concernés (TF 1B_59/2019 du 21 juin 2019 consid. 3.2 et les réf. citées).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 citées).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 Le séquestre tendant à garantir une éventuelle créance compensatrice (art. 71 CP) peut porter sur tous les biens, valeurs et/ou revenus de l'intéressé; il doit être maintenu tant qu'il ne viole pas le principe de la proportionnalité, notamment sous l'angle des conditions minimales d'existence (art. 12 Cst. [Constitution fédérale de la Confédération suisse du 18 avril 1999; RS 101]), de sorte qu'une éventuelle atteinte au minimum vital du prévenu doit déjà être examinée au stade du séquestre (ATF 141 IV 360 consid. 3.2 ; Dupuis et alii, Petit commentaire CP, 2 e éd., Bâle 2017, n. 18 ad art. 71 CP et les réf. citées ; Lembo/Julen Berthod, op. cit. , n. 28 ad art. 263 CPP et les réf. citées en notes 96 et 97).</w:t>
      </w:r>
    </w:p>
    <w:p>
      <w:r>
        <w:rPr>
          <w:b/>
        </w:rPr>
        <w:t>E. 3.1</w:t>
      </w:r>
    </w:p>
    <w:p>
      <w:r>
        <w:t>En l’espèce, le recourant invoque qu’il a accepté de réceptionner des montants pour rendre service à une personne dont il a fait connaissance via un site Internet, et que lorsqu’il a été contacté par Postfinance au sujet du caractère potentiellement frauduleux des transactions en cause, il a coupé tout contact avec cette personne. Dans ces conditions, le recourant ne conteste pas que les valeurs patrimoniales qui ont transité par son compte provenaient éventuellement d’un crime ou d’un délit fiscal qualifié. Il invoque qu’il a été crédule et peu méfiant, et qu’il n’a pas eu conscience d’avoir été utilisé avant que Postfinance ne le contacte. Le point de savoir si le recourant savait ou devait présumer la provenance criminelle desdites valeurs patrimoniales fera l’objet des investigations du Ministère public. A ce stade, il suffit de constater qu’il existe des soupçons suffisants de culpabilité, que les déclarations de l’intéressé ne suffisent pas à écarter.</w:t>
      </w:r>
    </w:p>
    <w:p>
      <w:r>
        <w:rPr>
          <w:b/>
        </w:rPr>
        <w:t>E. 3.2</w:t>
      </w:r>
    </w:p>
    <w:p>
      <w:r>
        <w:t>S’agissant du premier motif de séquestre invoqué par le Ministère public, savoir que l’argent se trouvant sur le compte bancaire litigieux pourrait devoir être restitué ou attribué au lésé (art. 263 al. 1 let c CPP), l’on ne discerne pas qui pourrait être lésé en l’occurrence. L’ordonnance entreprise est en effet muette sur ce point. En outre, comme le recourant a transmis les fonds en cause à l’étranger, ceux qui demeurent sur son compte ne sont pas le produit de l’infraction. L’ordonnance est ainsi mal fondée sur ce point.</w:t>
      </w:r>
    </w:p>
    <w:p>
      <w:r>
        <w:rPr>
          <w:b/>
        </w:rPr>
        <w:t>E. 3.3</w:t>
      </w:r>
    </w:p>
    <w:p>
      <w:r>
        <w:t>S’agissant du second motif de séquestre invoqué, savoir que l’argent se trouvant sur ce compte bancaire pourrait faire l’objet d’une confiscation (art. 263 al. 1 let. d CPP), puisque le recourant a transféré en France les six versements litigieux, il est envisageable de séquestrer leur contre-valeur disponible sur le compte. La seule hypothèse consiste à prononcer une créance compensatrice d’un montant de 2'280 fr. (art. 71 al. 3 CP). Or, le Ministère public a confisqué tous les montants figurant sur le compte bancaire de l’intéressé, sans limiter sa décision au montant de 2'280 fr. correspondant au maximum possible de la créance compensatrice. Certes, il le justifie par le fait qu’il faut éviter que ce compte continue à être utilisé à mauvais escient. Toutefois, l’hypothèse que le recourant continue à se prêter à des transferts d’argent frauduleux semble peu crédible ; au demeurant, rien ne l’empêcherait de le faire par le biais d’un autre compte. En outre, la Procureure n’a pas examiné la situation financière du recourant – qui se plaint d’avoir été laissé sans ressources –, pour déterminer, déjà à ce stade, si le séquestre pouvait porter atteinte aux conditions minimales d’existence de ce dernier. La confiscation de toutes les valeurs sur le compte IBAN CH11 0900 0000 1763 5050 1 du recourant viole dès lors le principe de proportionnalité.</w:t>
      </w:r>
    </w:p>
    <w:p>
      <w:r>
        <w:rPr>
          <w:b/>
        </w:rPr>
        <w:t>E. 4</w:t>
      </w:r>
    </w:p>
    <w:p>
      <w:r>
        <w:t>Au vu de ce qui précède, il y a lieu d’admettre le recours et d’annuler l’ordonnance de séquestre du 2 avril 2020. Le dossier de la cause sera renvoyé au Ministère public pour qu’il examine si le minimum vital du recourant est encore garanti par le séquestre du compte litigieux à hauteur de 2'280 francs. Par mesure de prudence, il convient de maintenir le séquestre jusqu’à ce que le Ministère public de l’arrondissement de Lausanne ait rendu sa nouvelle décision, pour autant que celle-ci intervienne dans un délai de dix jours dès la notification de l’arrêt. Les frais de la procédure de recours, constitués en l’espèce de l’émolument d'arrêt (art. 422 al. 1 CPP), par 880 fr. (art. 20 al. 1 TFIP [Tarif des frais de procédure et indemnités en matière pénale du 28 septembre 2010 ; BLV 312.03.1]), seront laissés à la charge de l’Etat. Par ces motifs, la Chambre des recours pénale prononce : I. Le recours est admis. II. L’ordonnance du 2 avril 2020 est annulée. III. Le dossier de la cause est renvoyé au Ministère public de l’arrondissement de Lausanne pour qu’il rende une nouvelle décision dans le sens des considérants dans un délai de dix jours dès notification du présent arrêt. IV. Le séquestre est maintenu jusqu’à ce que le Ministère public de l’arrondissement de Lausanne ait rendu sa nouvelle décision, pour autant que celle-ci intervienne dans le délai fixé. V. Les frais de la procédure de recours, par 880 fr. (huit cent huitante francs), sont laissés à la charge de l’Etat. VI. L’arrêt est exécutoire. Le président :               Le greffier : Du Le présent arrêt, dont la rédaction a été approuvée à huis clos, est notifié, par l'envoi d'une copie complète, à : ‑ T._________,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