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358 vom 7. Mai 2020</w:t>
      </w:r>
    </w:p>
    <w:p>
      <w:r>
        <w:t>VD Tribunal cantonal, 2020-05-07, FR</w:t>
      </w:r>
    </w:p>
    <w:p>
      <w:r>
        <w:rPr>
          <w:b/>
        </w:rPr>
        <w:t xml:space="preserve">Quelle: </w:t>
      </w:r>
      <w:r>
        <w:t>https://mcp.opencaselaw.ch/entscheid/vd_findinfo_D_cision___2020___358</w:t>
      </w:r>
    </w:p>
    <w:p>
      <w:r>
        <w:t>FR: VD_FINDINFO Décision / 2020 / 358 du 7 mai 2020</w:t>
      </w:r>
    </w:p>
    <w:p>
      <w:r>
        <w:t>IT: VD_FINDINFO Décision / 2020 / 358 del 7 maggio 2020</w:t>
      </w:r>
    </w:p>
    <w:p>
      <w:pPr>
        <w:pStyle w:val="Heading2"/>
      </w:pPr>
      <w:r>
        <w:t>Regeste</w:t>
      </w:r>
    </w:p>
    <w:p>
      <w:r>
        <w:t>SOUPÇON, RISQUE DE COLLUSION, MESURE DE SUBSTITUTION À LA DÉTENTION, MISE EN LIBERTÉ PROVISOIRE, REJET DE LA DEMANDE | 221 al. 1 let. b CPP (CH), 228 al. 1 CPP (CH)</w:t>
      </w:r>
    </w:p>
    <w:p>
      <w:pPr>
        <w:pStyle w:val="Heading2"/>
      </w:pPr>
      <w:r>
        <w:t>Erwägungen</w:t>
      </w:r>
    </w:p>
    <w:p>
      <w:r>
        <w:rPr>
          <w:b/>
        </w:rPr>
        <w:t>E. 1</w:t>
      </w:r>
    </w:p>
    <w:p>
      <w:r>
        <w:t>let. c CPP), par un détenu qui a qualité pour recourir (art. 222 et 382 al. 1 CPP) et dans les formes prescrites (art. 385 al. 1 CPP), le recours de X.________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Aux termes de l'art. 228 al. 1 CPP, le prévenu peut présenter en tout temps, par écrit ou oralement pour mention au procès-verbal, une demande de mise en liberté au ministère public, sous réserve de l’al. 5. La demande doit être brièvement motivée.</w:t>
      </w:r>
    </w:p>
    <w:p>
      <w:r>
        <w:rPr>
          <w:b/>
        </w:rPr>
        <w:t>E. 3.1</w:t>
      </w:r>
    </w:p>
    <w:p>
      <w:r>
        <w:t>Le recourant conteste toute participation au brigandage, à savoir qu'il n'aurait pas transmis de messages et n'aurait pas mis en contact S.________ et T.________. Il fait valoir en outre que le gant comportant son ADN trouvé sur le lieu du braquage d'un autre fourgon à Daillens en janvier 2017 ne se rapporte pas aux faits pour lesquels il est actuellement en détention provisoire.</w:t>
      </w:r>
    </w:p>
    <w:p>
      <w:r>
        <w:rPr>
          <w:b/>
        </w:rPr>
        <w:t>E. 3.2</w:t>
      </w:r>
    </w:p>
    <w:p>
      <w:r>
        <w:t>La détention provisoire suppose que le prévenu est fortement soupçonné d'avoir commis un crime ou un délit.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1B_413/2019 du 11 septembre 2019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rPr>
          <w:b/>
        </w:rPr>
        <w:t>E. 3.3</w:t>
      </w:r>
    </w:p>
    <w:p>
      <w:r>
        <w:t>Dans son ordonnance du 24 novembre 2019, le Tribunal des mesures de contrainte a retenu que le recourant avait pris part aux préparatifs du brigandage qualifié en bande avec armes en s'étant vu confier la transmission de messages écrits et oraux entre les différents protagonistes et avait ainsi vraisemblablement eu une position privilégiée au sein de la bande criminelle (p. 6). Tant la Cour de céans, dans son arrêt du 12 décembre 2019 (p. 7), que le Tribunal fédéral, dans son arrêt du 7 février 2020 (p. 4) ont retenu que le recourant ne niait pas l'existence de ces forts soupçons de culpabilité. Il n'existe aucun nouvel élément permettant de réfuter cette participation aux préparatifs du brigandage, d'autant que cela correspond bel et bien à ce que le recourant a admis (PV du 22 novembre 2019, lignes 64 et 140-145). Il en va de même pour la mise en contact entre S.________ et T.________. En effet, au cours de son audition du 22 novembre 2019, le recourant a déclaré : « J'ai donc demandé à V.________ de les (réd. : S.________ et T.________) mettre en contact » (lignes 76-77). Cet indice de culpabilité a également été retenu dans l'ordonnance du Tribunal des mesures de contrainte du 24 novembre 2019 (p. 6) et n'a pas non plus été contesté auprès de la Cour de céans, ni auprès du Tribunal fédéral. Quoi qu'il en soit, V.________ a formellement incriminé le recourant – soit avoir été présent dans un bureau à Lyon pour organiser le brigandage, avoir participé à certains repérages dans le but de déjouer les mesures de sécurité, avoir participé à la préparation de l'enlèvement de la fille de l'autre convoyeur de fonds, avoir transmis des informations sur l'avancement du projet à V.________ et avoir participé à un « test » auparavant, lequel s'est transformé en tentative de brigandage (cf. ordonnance du 24 novembre 2019, pp. 7-8) –, ce qui corrobore les déclarations du recourant lui-même dans ses précédentes dépositions, tout au moins sur le principe de son implication dans les faits, ce qui constitue des soupçons suffisants, étant précisé qu'il n'appartient au juge de la détention provisoire de trancher entre les versions contradictoires des prévenus. Enfin, il faut admettre que le fait qu'un gant comportant le profil ADN du recourant ait été trouvé sur le lieu d'une autre attaque de fourgon à Daillens en janvier 2017 ne peut effectivement pas être pris en compte au stade actuel de la procédure, qui concerne – en l'état – les faits reprochés au recourant pour ce qui est du brigandage commis à Chavornay (cf. PV X.________ du 26 février 2020, pp. 25-26). Mais cela ne change rien à l'issue de l'appréciation.</w:t>
      </w:r>
    </w:p>
    <w:p>
      <w:r>
        <w:rPr>
          <w:b/>
        </w:rPr>
        <w:t>E. 4.1</w:t>
      </w:r>
    </w:p>
    <w:p>
      <w:r>
        <w:t>Le recourant soutient que son comportement entre le moment où il a été auditionné le 23 juillet 2019 et celui où il a été appréhendé le 22 novembre 2019 n'a pas prêté le flanc à la critique, que la quasi-totalité des auteurs du brigandage ont été arrêtés tant en France qu'en Suisse et que de nombreuses mesures d'instruction ont déjà été mises en œuvre, de sorte qu'il n'existerait aucun risque de collusion.</w:t>
      </w:r>
    </w:p>
    <w:p>
      <w:r>
        <w:rPr>
          <w:b/>
        </w:rPr>
        <w:t>E. 4.2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Commentaire romand, Code de procédure pénale suisse, 2 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 ATF 132 I 21 consid. 3.2 ; TF 1B_339/2019 du 26 juillet 2019 consid. 3.1).</w:t>
      </w:r>
    </w:p>
    <w:p>
      <w:r>
        <w:rPr>
          <w:b/>
        </w:rPr>
        <w:t>E. 4.3</w:t>
      </w:r>
    </w:p>
    <w:p>
      <w:r>
        <w:t>En l'espèce, la Procureure a indiqué que l'audition par vidéoconférence du 27 février 2020 de S.________, incarcéré en France, n'avait pas pu être menée à son terme et serait reprise lorsque les situations sanitaires suisse et française le permettraient. Il n'est donc pas exclu que S.________ incrimine le recourant, ou encore d'autres personnes que celles actuellement identifiées, dans le brigandage de Chavornay. En effet, on rappellera que l'attaque du fourgon à main armée apparaît le fait d'une bande criminelle organisée et qu'il se justifie de pouvoir empêcher d'éventuels contacts entre le recourant et tous les participants au brigandage. Le risque de collusion sérieux et concret est par conséquent réalisé.</w:t>
      </w:r>
    </w:p>
    <w:p>
      <w:r>
        <w:rPr>
          <w:b/>
        </w:rPr>
        <w:t>E. 5.1</w:t>
      </w:r>
    </w:p>
    <w:p>
      <w:r>
        <w:t>Le recourant demande, en lieu et place de la détention provisoire, la mise en place de plusieurs mesures de substitution, soit le dépôt de sa carte d'identité, l'interdiction de quitter sa commune de domicile, sauf pour effectuer le solde de trois semaines de son service civil aux Hôpitaux universitaires de Genève, l'interdiction d'entrer en contact avec les prévenus ou toute autre personne entendue dans le cadre de la procédure, l'obligation de respecter les citations à comparaître, l'obligation de donner un numéro de téléphone afin qu'il soit atteignable ou toute autre obligation ordonnée par le tribunal.</w:t>
      </w:r>
    </w:p>
    <w:p>
      <w:r>
        <w:rPr>
          <w:b/>
        </w:rPr>
        <w:t>E. 5.2</w:t>
      </w:r>
    </w:p>
    <w:p>
      <w:r>
        <w:t>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w:t>
      </w:r>
    </w:p>
    <w:p>
      <w:r>
        <w:rPr>
          <w:b/>
        </w:rPr>
        <w:t>E. 5.3</w:t>
      </w:r>
    </w:p>
    <w:p>
      <w:r>
        <w:t>Comme exposé ci-dessus, il est primordial que le recourant n'interfère pas dans l'enquête en cours, notamment qu'il ne mette pas sa liberté à profit pour prendre contact directement ou par des intermédiaires avec des témoins ou d’autres participants au brigandage pour tenter d’influencer leurs déclarations. Toutes les mesures de substitution proposées apparaissent insuffisantes pour pallier ce risque et il n'en existe par ailleurs aucune autre. Cela s'impose d'autant plus que les charges qui pèsent contre le recourant sont graves.</w:t>
      </w:r>
    </w:p>
    <w:p>
      <w:r>
        <w:rPr>
          <w:b/>
        </w:rPr>
        <w:t>E. 6</w:t>
      </w:r>
    </w:p>
    <w:p>
      <w:r>
        <w:t>Enfin, si l'intégralité des charges est retenue contre le recourant, celui-ci s'expose à une peine privative de liberté largement supérieure aux six mois de détention provisoire qu'il aura subis en date du 22 mai 2020, de sorte que le principe de proportionnalité est respecté (art. 212 al. 3 CPP).</w:t>
      </w:r>
    </w:p>
    <w:p>
      <w:r>
        <w:rPr>
          <w:b/>
        </w:rPr>
        <w:t>E. 7</w:t>
      </w:r>
    </w:p>
    <w:p>
      <w:r>
        <w:t>Il résulte de ce qui précède que le recours, manifestement mal fondé, doit être rejeté sans échange d'écritures (art. 390 al. 2 CPP) et l'ordonnance entreprise confirmée. Les frais de la procédure de recours sont fixés à 990 fr. (art. 20 al. 1 TFIP [tarif des frais de procédure et indemnités en matière pénale du 28 septembre 2010 ; BLV 312.03.1]). Au vu du travail accompli par Me Pierre-Alain Killias, défenseur d'office du recourant, il sera retenu 3 h d'activité au tarif horaire de 180 fr. (art. 2 al. 1 let. a et 3 al. 2 RAJ [règlement sur l'assistance judiciaire en matière civile du 7 décembre 2010 ; BLV 211.02.3] applicables par renvoi de l'art. 26b TFIP), soit 540 francs. S'y ajoutent 2 % pour les débours (art. 3bis al. 1 RAJ applicable par renvoi de l'art. 26b TFIP), soit 10 fr. 80, de sorte que l'indemnité d'office s'élève au total à 593 fr. en chiffres ronds, TVA par 7,7 % incluse. Les frais d'arrêt et les frais imputables à la défense d’office seront mis à la charge du recourant, qui succombe (art. 428 al. 1 CPP). Le remboursement à l’Etat de l’indemnité allouée au défenseur d’office sera exigible du recourant pour autant que sa situation financière le permette (art. 135 al. 4 CPP). Par ces motifs, la Chambre des recours pénale prononce : I. Le recours est rejeté. II. L'ordonnance du 17 avril 2020 est confirmée. III. L'indemnité allouée à Me Pierre-Alain Killias, défenseur d'office de X.________, est fixée à 593 fr. (cinq cent nonante-trois francs). IV. Les frais d'arrêt, par 990 fr. (neuf cent nonante francs), ainsi que l'indemnité allouée à Me Pierre-Alain Killias, par 593 fr. (cinq cent nonante-trois francs), sont mis à la charge de X.________. V. Le remboursement à l'Etat de l'indemnité allouée sous chiffre III ci-dessus sera exigible de X.________ pour autant que sa situation financière le permette. VI. L’arrêt est exécutoire. Le président :              La greffière : Du Le présent arrêt, dont la rédaction a été approuvée à huis clos, est notifié, par l'envoi d'une copie complète, à : - Me Pierre-Alain Killias, avocat (pour X.________), - Ministère public central, et communiqué à : - Mme la Présidente du Tribunal des mesures de contrainte, - Mme la Procureure de l'arrondissement du Nord vaudois, - M. U.________,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