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343 vom 28. April 2020</w:t>
      </w:r>
    </w:p>
    <w:p>
      <w:r>
        <w:t>VD Tribunal cantonal, 2020-04-28, FR</w:t>
      </w:r>
    </w:p>
    <w:p>
      <w:r>
        <w:rPr>
          <w:b/>
        </w:rPr>
        <w:t xml:space="preserve">Quelle: </w:t>
      </w:r>
      <w:r>
        <w:t>https://mcp.opencaselaw.ch/entscheid/vd_findinfo_D_cision___2020___343</w:t>
      </w:r>
    </w:p>
    <w:p>
      <w:r>
        <w:t>FR: VD_FINDINFO Décision / 2020 / 343 du 28 avril 2020</w:t>
      </w:r>
    </w:p>
    <w:p>
      <w:r>
        <w:t>IT: VD_FINDINFO Décision / 2020 / 343 del 28 aprile 2020</w:t>
      </w:r>
    </w:p>
    <w:p>
      <w:pPr>
        <w:pStyle w:val="Heading2"/>
      </w:pPr>
      <w:r>
        <w:t>Regeste</w:t>
      </w:r>
    </w:p>
    <w:p>
      <w:r>
        <w:t>CONSULTATION DU DOSSIER, AUTORITÉ, REJET DE LA DEMANDE | 101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interjeté en temps utile, devant l’autorité compétente, par le prévenu qui a qualité pour recourir (cf. art. 382 al. 1 CPP), et satisfaisant aux conditions de formes prescrites (cf. art. 385 al. 1 CPP), le recours est recevable.</w:t>
      </w:r>
    </w:p>
    <w:p>
      <w:r>
        <w:rPr>
          <w:b/>
        </w:rPr>
        <w:t>E. 2.1</w:t>
      </w:r>
    </w:p>
    <w:p>
      <w:r>
        <w:t>Le recourant se plaint tout d’abord d’une violation de son droit d’être entendu en ce sens que l’ordonnance du Procureur ne serait pas suffisamment motivée.</w:t>
      </w:r>
    </w:p>
    <w:p>
      <w:r>
        <w:rPr>
          <w:b/>
        </w:rPr>
        <w:t>E. 2.2</w:t>
      </w:r>
    </w:p>
    <w:p>
      <w:r>
        <w:t>Le droit d’être entendu, garanti à l'art. 29 al. 2 Cst. (Constitution fédérale de la Confédération suisse; RS 101), comporte celui de recevoir une décision suffisamment motivée, c'est-à-dire permettant à la personne visée de la contester à bon escient (ATF 142 II 154 consid. 4.2; ATF 141 V 557 consid. 3.2.1 et les réf. cit.) et à l'autorité de recours d'exercer utilement son contrôle (ATF 141 IV 249 consid. 1.3.1).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141 V 557 précité).</w:t>
      </w:r>
    </w:p>
    <w:p>
      <w:r>
        <w:rPr>
          <w:b/>
        </w:rPr>
        <w:t>E. 2.3</w:t>
      </w:r>
    </w:p>
    <w:p>
      <w:r>
        <w:t>En l’occurrence, contrairement à ce qu’affirme le recourant, l’ordonnance entreprise procède à une pesée des intérêts, entre l’intérêt du recourant au maintien du secret et à la protection de sa personnalité, d’une part, et l’intérêt public à la conduite de la procédure menée par l’autorité civile, d’autre part, et arrive à la conclusion que l’intérêt public, notamment à la protection des enfants mineurs du couple, est en l’espèce prépondérant. Il n’y a dès lors aucune violation du droit du recourant d’être entendu, et celui-ci a pu comprendre les raisons pour lesquelles la procureure autorisait le Tribunal d’arrondissement de La Côte à consulter l’entier du dossier pénal PE20.002901-SRD dans la cause JS19.005796/LGN, et attaquer en toute connaissance de cause son ordonnance. Partant, le grief doit être rejeté.</w:t>
      </w:r>
    </w:p>
    <w:p>
      <w:r>
        <w:rPr>
          <w:b/>
        </w:rPr>
        <w:t>E. 3.1</w:t>
      </w:r>
    </w:p>
    <w:p>
      <w:r>
        <w:t>Le recourant s’oppose ensuite à toute communication au motif que le respect du principe de la présomption d’innocence et son intérêt privé à la protection de sa personnalité et au maintien du secret de l’instruction doivent l’emporter en l’espèce.</w:t>
      </w:r>
    </w:p>
    <w:p>
      <w:r>
        <w:rPr>
          <w:b/>
        </w:rPr>
        <w:t>E. 3.2</w:t>
      </w:r>
    </w:p>
    <w:p>
      <w:r>
        <w:t>Selon l’art. 101 al. 2 CPP, d'autres autorités que le ministère public peuvent consulter le dossier lorsqu'elles en ont besoin pour traiter une procédure civile, pénale ou administrative pendante et si aucun intérêt public ou privé prépondérant ne s'y oppose. L’art. 102 al. 1 CPP prévoit que la direction de la procédure statue sur la consultation des dossiers ; elle prend les mesures nécessaires pour prévenir les abus et les retards et pour protéger les intérêts légitimes au maintien du secret. Selon l’art. 102 al. 2 CPP, les dossiers sont consultés au siège de l'autorité pénale concernée ou, par voie d'entraide judiciaire, au siège d'une autre autorité pénale ; en règle générale, ils sont remis à d'autres autorités ainsi qu'aux conseils juridiques des parties. D’après l’art. 102 al. 3 CPP, toute personne autorisée à consulter le dossier peut en demander une copie contre versement d'un émolument. La consultation du dossier par d’autres autorités (au sens de l’art. 101 al. 2 CPP) présuppose une pesée des intérêts en présence (Message relatif à l'unification du droit de la procédure pénale du 21 décembre 2005, FF 2006 pp. 1057 ss, spéc. 1140 ; TF 1B_530/2012 du 12 novembre 2012, SJ 2013 I 77). Il convient donc de procéder à une pesée entre, d’une part, l’intérêt privé du recourant à la protection de sa personnalité et au maintien du secret de l’instruction et, d’autre part, l’intérêt public à la conduite de la procédure menée par l’autorité requérante (cf. CREP 23 décembre 2015/863).</w:t>
      </w:r>
    </w:p>
    <w:p>
      <w:r>
        <w:rPr>
          <w:b/>
        </w:rPr>
        <w:t>E. 3.3</w:t>
      </w:r>
    </w:p>
    <w:p>
      <w:r>
        <w:t>En l’occurrence, en l’état actuel de la procédure, A.L.________ est prévenu d’extorsion et chantage, de contrainte sexuelle ainsi que de viol. Les faits qui lui sont reprochés, soit notamment de s’en être pris à l’intégrité corporelle d’une victime de 19 ans, encore vierge, en abusant de l’hospitalité de la grand-mère de celle-ci, sont graves. Certes, les enfants de l’intéressé n’ont pas à connaître ces évènements, mais le juge civil et la partie adverse pourraient avoir besoin de la connaissance du dossier dans le cadre de l’appréciation générale des questions relatives à la règlementation concernant la garde et le droit de visite sur ceux-ci, leur intérêt à être protégés dans le cadre de ces règlementations l’emportant sur l’intérêt à garder secret ces évènements. C’est le lieu de rappeler qu’en matière d’attribution des droits parentaux, le bien de l’enfant constitue la règle fondamentale (ATF 141 III 328 consid. 5.4), et les intérêts des parents doivent être relégués au second plan (ATF 142 III 617 consid. 3.2.3 ; TF 5A_805/2019 du 27 mars 2020 consid. 4.1). C’est dès lors en vain que le recourant fait valoir que les infractions qui lui sont reprochées, à caractère sexuel, ne concernent pas des enfants. Manifestement, le dossier dont la production a été ordonnée – qui concerne non seulement des infractions contre l’intégrité sexuelle, mais également contre la liberté et le patrimoine (art. 156 CP), ainsi que contre le patrimoine (art. 138 CP) – sera utile au juge civil pour déterminer, notamment, les capacités éducatives de l’intéressé et statuer sur le sort des enfants. C’est par conséquent à juste titre que la Procureure a autorisé le Tribunal d’arrondissement de La Côte, dans le cadre de la cause JS19.005796/LGN, à consulter l’entier du dossier PE20.002901-SRD.</w:t>
      </w:r>
    </w:p>
    <w:p>
      <w:r>
        <w:rPr>
          <w:b/>
        </w:rPr>
        <w:t>E. 4.1</w:t>
      </w:r>
    </w:p>
    <w:p>
      <w:r>
        <w:t>Dans un dernier moyen, le recourant s’étonne de la communication de l’ordonnance attaquée à [...], qui est plaignant en raison d’un possible abus de confiance (cf. let. Ab supra et PV aud. 9).</w:t>
      </w:r>
    </w:p>
    <w:p>
      <w:r>
        <w:rPr>
          <w:b/>
        </w:rPr>
        <w:t>E. 4.2</w:t>
      </w:r>
    </w:p>
    <w:p>
      <w:r>
        <w:t>L'art. 101 al. 1 CPP prévoit que les parties peuvent consulter le dossier d'une procédure pendante au plus tard après la première audition du prévenu et l'administration des preuves principales par le ministère public, l'art. 108 CPP étant réservé. L’art. 108 CPP prévoit que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Selon la jurisprudence, des restrictions au droit de consulter le dossier doivent toutefois être ordonnées avec retenue et dans le respect du principe de la proportionnalité (TF 1B_112/2019 du 15 octobre 2019 consid. 3.1). Il faut ainsi considérer que, dans la mesure où l'accès au dossier - et par conséquent celui à des données personnelles - constitue un inconvénient potentiel inhérent à l'existence d'une procédure pénale, l'intérêt invoqué à la protection de la sphère privée doit passer au second plan par rapport à celui des parties à pouvoir valablement exercer leur droit d'être entendus, garanti notamment par les art. 6 par. 1 CEDH et 29 al. 2 Cst. (TF 1B_344/2019 du 16 janvier 2020 consid. 2 et les références citées).  Le fait que, par la jonction de diverses plaintes, des parties aient connaissance de l’entier du dossier, est précisément un de ces inconvénients.</w:t>
      </w:r>
    </w:p>
    <w:p>
      <w:r>
        <w:rPr>
          <w:b/>
        </w:rPr>
        <w:t>E. 4.3</w:t>
      </w:r>
    </w:p>
    <w:p>
      <w:r>
        <w:t>En l’occurrence, certes [...], en tant que partie plaignante pour l’infraction qu’il a dénoncée, a accès à l’entier du dossier alors que les infractions contre l’intégrité sexuelle reprochées au recourant ne le concernent pas et constituent des données ayant trait à la sphère privée de ce dernier. Toutefois, le Tribunal fédéral a retenu que ce cas de figure constituait un inconvénient potentiel inhérent à l'existence d'une procédure pénale, et que des moyens pouvaient cas échéant être invoqués par le prévenu qui souhaitait protéger sa sphère privée. Or, à ce stade de l’enquête, A.L.________ n’a pas formulé de requête en ce sens. Mal fondé, ce grief, qui ne concerne de toute manière pas le bien-fondé de la décision, doit être rejeté.</w:t>
      </w:r>
    </w:p>
    <w:p>
      <w:r>
        <w:rPr>
          <w:b/>
        </w:rPr>
        <w:t>E. 5</w:t>
      </w:r>
    </w:p>
    <w:p>
      <w:r>
        <w:t>En définitive, le recours interjeté par A.L.________, manifestement mal fondé, doit être rejeté sans échange d'écritures (art. 390 al. 2 CPP) et l'ordonnance attaquée confirmée. L’indemnité allouée au défenseur d’office de A.L.________ doit être arrêtée à un total arrondi de 593 fr., correspondant à 3 heures de travail d’avocat breveté au tarif horaire de 180 fr., par 540 fr., plus des débours forfaitaires à concurrence de 2%, par 10 fr. 80 (art. 2 al. 1 let. a et 3bis RAJ [Règlement sur l'assistance judiciaire en matière civile du 7 décembre 2010 ; BLV 211.02.3], applicables par renvoi de l'art. 26b TFIP [Tarif des frais de procédure et indemnités en matière pénale du 28 septembre 2010 ; BLV 312.03.1]), et un montant correspondant à la TVA, par 42 fr. 40. Les frais de la procédure de recours, constitués en l'espèce de l'émolument d'arrêt (art. 422 al. 1 CPP), par 880 fr. (art. 20 al. 1 TFIP), et des frais imputables à la défense d'office (art. 422 al. 1 et 2 let. a CPP), fixés à 593 fr. 20,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9 mars 2020 est confirmée. III. L’indemnité allouée au défenseur d’office de A.L.________ est fixée à 593 fr. (cinq cent nonante-trois francs). IV. Les frais d’arrêt, par 880 fr. (huit cent huitante francs), ainsi que l’indemnité due au défenseur d’office de A.L.________, par 593 fr. (cinq cent nonante-trois francs), sont mis à la charge de ce dernier. V. Le remboursement à l’Etat de l’indemnité allouée au chiffre III ci-dessus ne sera exigible que pour autant que la situation financière de A.L.________ le permette. VI. L’arrêt est exécutoire. Le président :               La greffière : Du Le présent arrêt, dont la rédaction a été approuvée à huis clos, est notifié, par l'envoi d'une copie complète, à : - Me Astyanax Peca, avocat (pour A.L.________), - Me Carola Massatsch, avocate (pour W.________), - M. [...], - Mme G.________,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