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279 vom 25. März 2020</w:t>
      </w:r>
    </w:p>
    <w:p>
      <w:r>
        <w:t>VD Tribunal cantonal, 2020-03-25, FR</w:t>
      </w:r>
    </w:p>
    <w:p>
      <w:r>
        <w:rPr>
          <w:b/>
        </w:rPr>
        <w:t xml:space="preserve">Quelle: </w:t>
      </w:r>
      <w:r>
        <w:t>https://mcp.opencaselaw.ch/entscheid/vd_findinfo_D_cision___2020___279</w:t>
      </w:r>
    </w:p>
    <w:p>
      <w:r>
        <w:t>FR: VD_FINDINFO Décision / 2020 / 279 du 25 mars 2020</w:t>
      </w:r>
    </w:p>
    <w:p>
      <w:r>
        <w:t>IT: VD_FINDINFO Décision / 2020 / 279 del 25 marzo 2020</w:t>
      </w:r>
    </w:p>
    <w:p>
      <w:pPr>
        <w:pStyle w:val="Heading2"/>
      </w:pPr>
      <w:r>
        <w:t>Regeste</w:t>
      </w:r>
    </w:p>
    <w:p>
      <w:r>
        <w:t>CLASSEMENT DE LA PROCÉDURE | 310 CPP (CH), 393 al. 1 let. a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C.________ est recevable.</w:t>
      </w:r>
    </w:p>
    <w:p>
      <w:r>
        <w:rPr>
          <w:b/>
        </w:rPr>
        <w:t>E. 2.1</w:t>
      </w:r>
    </w:p>
    <w:p>
      <w:r>
        <w:t>La recourante conteste qu'aucun acte d'enquête ne serait à même d'éclairer le déroulement des faits. Elle soutient que la concierge de l'immeuble aurait été présente au moment des faits, que la fille de la recourante, qui l'a accompagnée au poste de police, pourrait apporter un éclairage sur son état le jour des faits et permettre d'évaluer la crédibilité de sa version, celle-ci ayant en outre eu une discussion avec la concierge le jour des faits, que la psychologue consultée au centre LAVI en raison des événements litigieux pourrait également apporter des précisions, qu'une confrontation entre les parties permettrait de lever les doutes et qu'une enquête de voisinage permettrait de déterminer la vision que les habitants de l'immeuble pourrait avoir de la prévenue. Elle a en outre souligné que les actes décrits seraient graves, dès lors qu'âgée de 79 ans, elle aurait perdu l'équilibre et heurté le mur, ajoutant que l'exécution de la menace d'être poussée dans les escaliers pourrait lui causer des séquelles irréversibles, voire lui être fatale. La gravité concrète des faits devrait ainsi conduire à apprécier avec plus de retenue la possibilité de rendre une ordonnance de non-entrée en matière.</w:t>
      </w:r>
    </w:p>
    <w:p>
      <w:r>
        <w:rPr>
          <w:b/>
        </w:rPr>
        <w:t>E. 2.2</w:t>
      </w:r>
    </w:p>
    <w:p>
      <w:r>
        <w:t>Conformément à l'art. 310 al. 1 let. a CPP, le Ministère public rend immédiatement – c'est-à-dire sans qu'une instruction soit ouverte (art. 309 al. 1 et 4 CPP; TF 1B_111/2012 du 5 avril 2012 consid. 2.1; Cornu, in: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Avant de rendre une ordonnance de non-entrée en matière, le Ministère public n'a pas à en informer les parties et il n'a pas à leur donner la possibilité d'exercer leur droit d'être entendu, lequel sera assuré, le cas échéant, dans le cadre de la procédure de recours (TF 6B_4/2013 du 11 avril 2013 consid. 2.1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p. 243 et les arrêts cités; TF 6B_1239/2018 du 11 mars 2019 consid. 3.1.2; TF 6B_874/2017 du 18 avril 2018 consid. 5.1). Cela vaut en particulier lorsqu'il s'agit de délits commis typiquement "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TF 6B_1239/2018 du 11 mars 2019 consid. 3.1.2; TF 6B_874/2017 précité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6B_1239/2018 du 11 mars 2019 consid. 3.1.2; TF 6B_806/2015 du 1 er février 2016 consid. 2.3; TF 6B_1151/2014 du 16 décembre 2015 consid. 3.1).</w:t>
      </w:r>
    </w:p>
    <w:p>
      <w:r>
        <w:rPr>
          <w:b/>
        </w:rPr>
        <w:t>E. 2.3</w:t>
      </w:r>
    </w:p>
    <w:p>
      <w:r>
        <w:t>En l'espèce, c'est en vain que la recourante sollicite des mesures d'instruction complémentaires. En effet, l'audition formelle de la concierge serait inutile puisque, lorsque cette dernière a été contactée par la police, elle a déclaré qu'elle n'était pas présente au moment des faits litigieux. Certes, elle pourrait apporter des éléments sur le contexte. Celui-ci est toutefois connu puisque, contacté par la police, l'ancien concierge a indiqué avoir quitté le poste de conciergerie dans l'immeuble en question en raison du comportement de la plaignante, qui serait très désagréable avec ses voisins (cf. P. 5, p. 3), ce qui n'est d'ailleurs pas contesté. Il serait en outre disproportionné de mettre en œuvre une enquête de voisinage pour des faits aussi bénins. Le témoignage de la fille de la recourante quant à l'état de sa mère et quant à sa discussion avec la concierge et aux propos contraires de cette dernière serait sujet à caution, respectivement pas déterminant, au vu du lien parental. Enfin, la psychologue LAVI consultée ne pourra pas témoigner, vu l'obligation imposée par l'art. 11 al. 1 de la loi fédérale sur l'aide aux victimes d'infractions (LAVI; RS 312.5) – qui prévoit que les personnes qui travaillent pour un centre de consultation doivent garder le secret sur leurs constatations à l’égard des autorités et des particuliers –, l'exception de l'art. 173 al. 1 CPP n'étant pas réalisée en l'espèce. Au vu de ce qui précède, aucune mesure d'instruction ne permettrait d'apporter des éclaircissements quant aux faits litigieux. On se trouve donc en présence de versions des faits qui sont irrémédiablement contradictoires et que l'ouverture d'une instruction ne serait pas à même de trancher. Dans ce cas, on peut renoncer à une mise en accusation. C'est donc à bon droit que la procureure a rendu une ordonnance de non-entrée en matière.</w:t>
      </w:r>
    </w:p>
    <w:p>
      <w:r>
        <w:rPr>
          <w:b/>
        </w:rPr>
        <w:t>E. 3</w:t>
      </w:r>
    </w:p>
    <w:p>
      <w:r>
        <w:t>Il résulte de ce qui précède que le recours doit être rejeté sans échange d’écritures (art. 390 al. 2 CPP) et l’ordonnance attaquée confirmée. Les frais de la procédure de recours, constitués en l’espèce de l’émolument d'arrêt, par 660 fr. (art. 20 al. 1 TFIP [Tarif des frais judiciaires de procédure et indemnités en matière pénale du 28 septembre 2010; BLV 312.03.1]), seront mis à la charge de la recourante, qui succombe (art. 428 al. 1 CPP). Par ces motifs, la Chambre des recours pénale prononce : I. Le recours est rejeté. II. L'ordonnance du 17 décembre 2019 est confirmée. III. Les frais d'arrêt, par 660 fr. (six cent soixante francs), sont mis à la charge de C.________. IV. L’arrêt est exécutoire. Le président :               La greffière : Du Le présent arrêt, dont la rédaction a été approuvée à huis clos, est notifié, par l'envoi d'une copie complète, à : - Me Sébastien Thüler, avocat (pour C.________), - Ministère public central, et communiqué à : - Mme la Procureure de l'arrondissement de l'Est vaudois, - Mme I.________,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