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257 vom 1. April 2020</w:t>
      </w:r>
    </w:p>
    <w:p>
      <w:r>
        <w:t>VD Tribunal cantonal, 2020-04-01, FR</w:t>
      </w:r>
    </w:p>
    <w:p>
      <w:r>
        <w:rPr>
          <w:b/>
        </w:rPr>
        <w:t xml:space="preserve">Quelle: </w:t>
      </w:r>
      <w:r>
        <w:t>https://mcp.opencaselaw.ch/entscheid/vd_findinfo_D_cision___2020___257</w:t>
      </w:r>
    </w:p>
    <w:p>
      <w:r>
        <w:t>FR: VD_FINDINFO Décision / 2020 / 257 du 1 avril 2020</w:t>
      </w:r>
    </w:p>
    <w:p>
      <w:r>
        <w:t>IT: VD_FINDINFO Décision / 2020 / 257 del 1 aprile 2020</w:t>
      </w:r>
    </w:p>
    <w:p>
      <w:pPr>
        <w:pStyle w:val="Heading2"/>
      </w:pPr>
      <w:r>
        <w:t>Regeste</w:t>
      </w:r>
    </w:p>
    <w:p>
      <w:r>
        <w:t>CAS DE SÉQUESTRE, ORDONNANCE DE SÉQUESTRE, PROPORTIONNALITÉ, ADMISSION DE LA DEMANDE, IMMEUBLE, GAGE IMMOBILIER | 70 CP, 71 CP, 36 Cst., 263 al. 1 let. c CPP (CH), 263 al. 1 let. d CPP (CH)</w:t>
      </w:r>
    </w:p>
    <w:p>
      <w:pPr>
        <w:pStyle w:val="Heading2"/>
      </w:pPr>
      <w:r>
        <w:t>Erwägungen</w:t>
      </w:r>
    </w:p>
    <w:p>
      <w:r>
        <w:rPr>
          <w:b/>
        </w:rPr>
        <w:t>E. 1</w:t>
      </w:r>
    </w:p>
    <w:p>
      <w:r>
        <w:t>Selon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(Moreillon/Parein-Reymond, Code de procédure pénale, Petit commentaire, 2 e éd., Bâle 2016, n. 24 ad art. 263 CPP ; Lembo/Julen Berthod, in : Kuhn/Jeanneret [éd.], Commentaire romand, Code de procédure pénale suisse, Bâle 2011, n. 4 ad art. 267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septembre 1979 ; BLV 173.01]). Interjeté en temps utile par un prévenu, qui a un intérêt juridique à l’annulation ou à la modification de l’ordonnance entreprise (art. 382 al. 1 CPP), et dans les formes prescrites (art. 385 al. 1 CPP), le recours d’H.________ est recevable. Les pièces nouvelles le sont également (art. 390 al. 4 in fine CPP ; Moreillon/Parein-Reymond, op. cit., n. 8 ad art. 385 CPP ; CREP 9 juillet 2012/427 consid. 1b et les réf. citées).</w:t>
      </w:r>
    </w:p>
    <w:p>
      <w:r>
        <w:rPr>
          <w:b/>
        </w:rPr>
        <w:t>E. 2.1</w:t>
      </w:r>
    </w:p>
    <w:p>
      <w:r>
        <w:t>Le recourant se plaint d’une constatation incomplète ou erronée des faits. Il soutient avoir réalisé tous les travaux qui lui ont été commandés et que les réclamations des plaignants ne porteraient que sur de prétendus défauts. Il allègue en outre que l’immeuble dont il est propriétaire, situé à [...], comportait en 2013 trois appartements et que, selon une estimation immobilière, la valeur vénale de son bien-fonds était à ce moment-là de 2'200'000 francs. Après des travaux en 2018, cet immeuble comporterait à présent cinq appartements et serait actuellement estimé à au moins 2'500'000 francs. Le recourant se plaint également d’une violation des art. 71 al. 3 CP (Code pénal suisse du 21 décembre 1937 ; RS 311.0), 263 CPP et 26 et 36 Cst. (Constitution fédérale de la Confédération suisse du 18 avril 1999 ; RS 101). Il invoque le fait que les acomptes versés par les plaignants l’ont été sur la base d’un devis qu’ils avaient signé. Les éventuelles prétentions des plaignants ne seraient ainsi fondées que sur le droit civil, et non pas sur le droit pénal. La société T.________ étant valablement devenue propriétaire des acomptes virés par les plaignants, la condition de l’appropriation ne serait pas remplie, ce qui exclurait la réalisation de l’infraction d’abus de confiance. Le séquestre ne saurait ainsi être ordonné, faute de soupçons suffisants et du fait qu’il apparaitrait d’emblée exclu qu’une créance compensatrice puisse être ordonnée. Le recourant estime encore que le séquestre ordonné ne serait pas conforme au principe de proportionnalité, dès lors que les trois acomptes litigieux versés atteignent la somme de 167'637 fr. 60, alors que le bien immobilier sur lequel porte le séquestre aurait une valeur vénale actuelle d’au moins 2'500'000 francs.</w:t>
      </w:r>
    </w:p>
    <w:p>
      <w:r>
        <w:rPr>
          <w:b/>
        </w:rPr>
        <w:t>E. 2.2.1</w:t>
      </w:r>
    </w:p>
    <w:p>
      <w:r>
        <w:t>Conformément à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 Le séquestre en matière pénale est une mesure de contrainte qui ne peut être ordonnée que lorsqu’une instruction a été ouverte par le Ministère public (art. 309 al. 1 let. b CPP) et qui est prononcée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w:t>
      </w:r>
    </w:p>
    <w:p>
      <w:r>
        <w:rPr>
          <w:b/>
        </w:rPr>
        <w:t>E. 2.2.2</w:t>
      </w:r>
    </w:p>
    <w:p>
      <w:r>
        <w:t>Le séquestre en vue de restitution (art. 263 al. 1 let. c CPP) consiste à placer sous mains de justice des objets ou des valeurs patrimoniales dans le but de les rendre à leur possesseur antérieur lorsqu’ils ne sont ni confisqués ni utilisés pour couvrir les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(TF 1B_114/2015 du 1 er juillet 2015 consid. 2.1 ; Moreillon/Parein-Reymond, op. cit., n. 17 ad art. 263 CPP et les références citées).</w:t>
      </w:r>
    </w:p>
    <w:p>
      <w:r>
        <w:rPr>
          <w:b/>
        </w:rPr>
        <w:t>E. 2.2.3</w:t>
      </w:r>
    </w:p>
    <w:p>
      <w:r>
        <w:t>Le séquestre en vue de confiscation (art. 263 al. 1 let. d CPP) est une mesure conservatoire provisoire – destinée à préserver les objets ou les valeurs que le juge du fond pourrait être amené à confisquer – fondée sur la vraisemblance et qui se justifie aussi longtemps qu'une simple possibilité de confiscation en application du Code pénal semble, prima facie , subsister (ATF 139 IV 250 consid. 2.1 ; ATF 137 IV 145 consid. 6.4 et les réf. citées).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 L’art. 71 al. 1 CP prévoit que,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elle ne peut être prononcée contre un tiers que dans la mesure où les conditions de l’art. 70 al. 2 CP ne sont pas réalisées ; à teneur de cette disposition, la confiscation n’est pas prononcée lorsqu’un tiers a acquis les valeurs dans l’ignorance des faits qui l’auraient justifiée, et cela notamment dans la mesure où il a fourni une contre-prestation adéquate. Selon la jurisprudence, les règles sur la confiscation doivent être appliquées de manière restrictive lorsque des tiers non enrichis sont concernés (TF 1B_59/2019 du 21 juin 2019 consid. 3.2 et les réf. cit.).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141 IV 360 consid. 3.2 ; ATF 140 IV 57 consid. 4.1.2 et les réf. citées). Le CPP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(ATF 141 IV 360 ; ATF 140 IV 57 consid. 4.1.2 ; Moreillon/ Parein-Reymond, op. cit., n. 8 ad rem. prél. aux art. 263 à 268 CPP).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précité consid. 4.1.2 et les réf. citées).</w:t>
      </w:r>
    </w:p>
    <w:p>
      <w:r>
        <w:rPr>
          <w:b/>
        </w:rPr>
        <w:t>E. 2.2.4</w:t>
      </w:r>
    </w:p>
    <w:p>
      <w:r>
        <w:t>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 TF 6B_59/2019 du 21 juin 2019 consid. 3.1).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(TF 1B_269/2018 du 26 septembre 2018 consid. 4.1 et l'arrêt cité).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 TF 6B_59/2019 précité consid. 3.1 ; TF 1B_500/2018 du 11 février 2019 consid. 6.1).</w:t>
      </w:r>
    </w:p>
    <w:p>
      <w:r>
        <w:rPr>
          <w:b/>
        </w:rPr>
        <w:t>E. 2.3</w:t>
      </w:r>
    </w:p>
    <w:p>
      <w:r>
        <w:t>En l’espèce, comme l’a retenu la Procureure, il existe des soupçons suffisants d’infraction, à tout le moins à ce stade de la procédure, qui n’en est encore qu’à ses prémisses. En effet, les mouvements du compte [...] « basic PME » dont est titulaire T.________ font apparaître que ce compte bancaire – ouvert quelques jours avant le premier versement des plaignants – a été débité par de nombreux retraits en espèces, ainsi que des transferts d’argent sur le compte [...] « privé formule premium » du prévenu (P. 25). Il semble donc vraisemblable que les acomptes versés par les plaignants, qui constituaient, entre les mois de mai et septembre 2016, les seuls crédits portés au compte de la société, aient été utilisés par le prévenu à des fins privées et pour rembourser des créances personnelles. Les plaignants ont également rendus vraisemblables qu’ils avaient dû mandater d’autres entreprises pour effectuer, à la place du prévenu, les travaux qu’ils lui avaient commandés (P. 16/7 à 11). Il apparaît ainsi, prima facie , qu’il existe des soupçons suffisants de commission de l’infraction d’abus de confiance. S’agissant du cas de séquestre de l’art. 263 al. 1 let. c CPP, le séquestre en vue de restitution ne peut être ordonné que lorsqu’il s’agit de valeurs patrimoniales soustraites à la personne lésée directement du fait de l’infraction (cf. supra consid. 2.2.2). Or, en l’état du dossier et vu les déclarations du prévenu, aucun lien ne peut être établi entre l’immeuble séquestré et la créance litigieuse, de sorte que ce cas de séquestre ne peut pas être retenu. En ce qui concerne le cas de l’art. 263 al. 1 let. d CPP, quand bien même l’immeuble séquestré ne résulte pas d’un avantage illicite, il n’est pas exclu qu’une partie de sa valeur puisse faire l’objet d’une créance compensatrice. Il n’est en effet pas nécessaire que le bien séquestré soit en rapport de connexité avec l’infraction en cause (cf. supra consid. 2.2.3). En outre, même si c’est la société T.________ – dont le recourant était l’associé-gérant – qui a bénéficié des acomptes versés par les plaignants, c’est bien le recourant qui est soupçonné des infractions en cause et c’est bien contre lui qu’une créance compensatrice sera, le cas échéant, prononcée. Celui-ci n’a donc pas la qualité de tiers au sens de l’art. 71 al. 1 in fine CP. Au demeurant, si tel était le cas, il ne pourrait pas exciper de son ignorance au sens de l’art. 70 al. 2 CP. Si le principe du séquestre paraît en l’état justifié et si le montant du prétendu préjudice des plaignants est défini, leur créance se limitant à la somme de 167'637 fr. 60, la proportionnalité du séquestre pose problème dans la mesure où la valeur réelle de l’immeuble n’est pas documentée. La Procureure a du reste relevé que la valeur vénale du bien-fonds restait à définir. Il semble qu’elle n’ait, à ce stade, ordonné aucune mesure d’instruction à cet égard, ce à quoi il y a lieu de remédier. Le recourant allègue, en référence à la P. 33/1-7 produite sous bordereau à l’appui de son recours, que son bien valait 2'200'000 fr. en 2013. On ignore cependant l’origine de ce document, qui n’est au demeurant ni daté ni signé. Le recourant indique également avoir effectué des travaux sur son bâtiment en 2018, portant le nombre d’appartements de trois à cinq, ce qui aurait augmenté la valeur de l’immeuble à au moins 2'500'000 francs. Cette valeur pourrait toutefois être très sensiblement diminuée du fait de l’existence de gages immobiliers grevant ledit bien-fonds, dont on ignore en l’état l’existence et la valeur. Il y a donc lieu d’instruire ces éléments de fait, les allégations du recourant n’étant pas documentées. En définitive, il paraît y avoir une disproportion entre la valeur de l’objet séquestré dans son intégralité et la prétention litigieuse, la créance des intimés se montant à 167'637 fr. 60. Au vu des doutes relatifs à la valeur de l’immeuble, il convient d’établir sa valeur vénale ainsi que, comme le relèvent les intimés, sa valeur fiscale, mais également l’existence de gages immobiliers le grevant, ainsi que leurs valeurs respectives (cf. art. 793 CC : hypothèque, cédule hypothécaire et lettre de rente), celles-ci devant venir en déduction. Ceci fait, le Ministère public rendra une nouvelle décision en fonction du résultat de l’instruction.</w:t>
      </w:r>
    </w:p>
    <w:p>
      <w:r>
        <w:rPr>
          <w:b/>
        </w:rPr>
        <w:t>E. 3</w:t>
      </w:r>
    </w:p>
    <w:p>
      <w:r>
        <w:t>Au vu de ce qui précède, il y a lieu d’admettre le recours et d’annuler l’ordonnance de séquestre du 21 février 2020. Le dossier de la cause sera renvoyé au Ministère public de l’arrondissement de Lausanne pour qu’il procède à l’instruction précitée (cf. supra consid. 2.3), puis rende une nouvelle décision. Par mesure de prudence, il convient de maintenir le séquestre ainsi que l’inscription au Registre foncier du district de la Glâne jusqu’à droit connu sur la décision à rendre par le Ministère public de l’arrondissement de Lausanne, pour autant que celle-ci intervienne dans un délai de 30 jours dès la notification de l’arrêt. Celle-ci pourra se limiter à la valeur fiscale du bien-fonds du recourant, à l’extrait du Registre foncier concernant cet immeuble et éventuellement, si la valeur des gages n’en ressort pas, à l’interpellation du recourant ainsi que de la banque créancière, notamment aux fins de faire produire les pièces nécessaires. A cet égard, le recourant est par la présente formellement enjoint de collaborer à l’établissement des faits en cause, notamment par la production des pièces permettant d’établir, dans le délai précité, la valeur des gages immobiliers grevant l’immeuble, et avisé qu’à défaut, le Ministère public pourra partir du principe que cette valeur est du même ordre de grandeur que celle de l’immeuble et, ainsi, maintenir le séquestre. Les frais de la procédure de recours, constitués en l’espèce de l’émolument d'arrêt (art. 422 al. 1 CPP), par 1'210 fr. (art. 20 al. 1 TFIP [tarif des frais de procédure et indemnités en matière pénale du 28 septembre 2010 ; BLV 312.03.1]), seront mis à la charge des parties qui succombent (art. 428 al. 1 CPP), soit les intimés A.V.________ et B.V.________, solidairement entre eux (art. 418 al. 2 CPP). Le recourant, qui obtient gain de cause et qui a procédé avec l’assistance d’un mandataire professionnel, a droit à une pleine indemnité pour les dépenses occasionnées par l’exercice raisonnable de ses droits pour la procédure de recours (art. 433 al. 1 CPP, applicable par renvoi de l’art. 436 al. 1 CPP). Au vu du mémoire produit, les honoraires peuvent être fixés à 900 fr., auxquels il convient d’ajouter des débours forfaitaires à concurrence de 2 % (art. 19 al. 2 TDC [tarif des dépens en matière civile du 23 novembre 2010 ; BLV 270.11.6], applicable par renvoi de l’art. 26a al. 6 TFIP [tarif des frais de procédure et indemnités en matière pénale du 28 septembre 2010 ; BLV 312.03.1]), par 18 fr., plus un montant correspondant à la TVA, par 70 fr. 70, ce qui correspond à une indemnité d’un montant total de 988 fr. 70, montant arrondi à 989 fr., à la charge des intimés A.V.________ et B.V.________, solidairement entre eux (art. 418 al. 2 CPP). Par ces motifs, la Chambre des recours pénale prononce : I. Le recours est admis. II. L’ordonnance du 21 février 2020 est annulée. III. Le dossier de la cause est renvoyé au Ministère public de l’arrondissement de Lausanne pour qu’il procède dans le sens des considérants. IV. Le séquestre ainsi que l’inscription y relative au Registre foncier du District de la Glâne sont maintenus jusqu’à droit connu sur la décision à rendre par le Ministère public de l’arrondissement de Lausanne, pour autant que cette décision intervienne dans les trente jours dès la notification du présent arrêt. V. Une indemnité d’un montant de 989 fr. (neuf cent huitante-neuf francs) est allouée à H.________ pour les dépenses occasionnées par l'exercice raisonnable de ses droits en procédure de recours, à la charge des intimés A.V.________ et B.V.________, solidairement entre eux. VI. Les frais de la procédure de recours, par 1’210 fr. (mille deux cent dix francs), sont mis à la charge des intimés A.V.________ et B.V.________, solidairement entre eux. VII. L’arrêt est exécutoire. Le président :               La greffière : Du Le présent arrêt, dont la rédaction a été approuvée à huis clos, est notifié, par l'envoi d'une copie complète, à : - Me Vivian Kühnlein, avocat (pour H.________), - Registre foncier de la Glâne,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