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256 vom 3. April 2020</w:t>
      </w:r>
    </w:p>
    <w:p>
      <w:r>
        <w:t>VD Tribunal cantonal, 2020-04-03, FR</w:t>
      </w:r>
    </w:p>
    <w:p>
      <w:r>
        <w:rPr>
          <w:b/>
        </w:rPr>
        <w:t xml:space="preserve">Quelle: </w:t>
      </w:r>
      <w:r>
        <w:t>https://mcp.opencaselaw.ch/entscheid/vd_findinfo_D_cision___2020___256</w:t>
      </w:r>
    </w:p>
    <w:p>
      <w:r>
        <w:t>FR: VD_FINDINFO Décision / 2020 / 256 du 3 avril 2020</w:t>
      </w:r>
    </w:p>
    <w:p>
      <w:r>
        <w:t>IT: VD_FINDINFO Décision / 2020 / 256 del 3 aprile 2020</w:t>
      </w:r>
    </w:p>
    <w:p>
      <w:pPr>
        <w:pStyle w:val="Heading2"/>
      </w:pPr>
      <w:r>
        <w:t>Regeste</w:t>
      </w:r>
    </w:p>
    <w:p>
      <w:r>
        <w:t>DÉFENSE D'OFFICE, REJET DE LA DEMANDE | 132 CPP (CH)</w:t>
      </w:r>
    </w:p>
    <w:p>
      <w:pPr>
        <w:pStyle w:val="Heading2"/>
      </w:pPr>
      <w:r>
        <w:t>Erwägungen</w:t>
      </w:r>
    </w:p>
    <w:p>
      <w:r>
        <w:rPr>
          <w:b/>
        </w:rPr>
        <w:t>E. 1</w:t>
      </w:r>
    </w:p>
    <w:p>
      <w:r>
        <w:t>Interjeté dans le délai légal (art. 396 al. 1 CPP) contre une décision du Ministère public refusant au prévenu la désignation d'un défenseur d'office (art. 393 al. 1 let. a CPP), par une partie qui a qualité pour recourir (art. 382 al. 1 CPP) et dans les formes prescrites (art. 385 al. 1 CPP), le recours formé par X.________ est recevable (Moreillon/Parein-Reymond, Code de procédure pénale, Petit commentaire, 2 e éd., Bâle 2016, n. 18 ad art. 132 CPP ; CREP 5 août 2019/613 consid. 1 et les références citées).</w:t>
      </w:r>
    </w:p>
    <w:p>
      <w:r>
        <w:rPr>
          <w:b/>
        </w:rPr>
        <w:t>E. 2.1</w:t>
      </w:r>
    </w:p>
    <w:p>
      <w:r>
        <w:t>Aux termes de l'art. 130 CPP, le prévenu doit avoir un défenseur notamment dans les cas où la détention provisoire, y compris la durée de l’arrestation provisoire, a excédé dix jours (let. a), dans les cas où il encourt une peine privative de liberté de plus d'un an, une mesure entraînant une privation de liberté ou une expulsion (let. b), ou dans les cas où en raison de son état physique ou psychique ou pour d’autres motifs, il ne peut pas suffisamment défendre ses intérêts dans la procédure et ses représentants légaux ne sont pas en mesure de le faire (let. c). La peine que le prévenu « encourt » (cf. art. 130 let. b CPP), ou celle dont il est « passible »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Niggli/Heer/ Wiprächtiger [éd.], Basler Kommentar, Schweizerische Strafprozessordnung, Jugendstrafprozessordnung, 2 e éd., Bâle 2014, n. 18 ad art. 130 CPP; Harari/Aliberti, in: Kuhn/Jeanneret [éd.], Commentaire romand, Code de procédure pénale suisse, Bâle 2011, n. 23 ad art. 130 CPP et réf. cit.). Selon la jurisprudence rendue à propos de l’art. 130 let. c CPP,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pour des motifs physiques ou psychiques, se trouve dans l'incapacité de suivre la procédure, de comprendre les accusations portées à son encontre et/ou de prendre raisonnablement position à cet égard (ATF 143 I 164 consid. 2.4.4 ; TF 6B_342/2018 du 6 février 2019 consid. 2.1 et l'arrêt cité).</w:t>
      </w:r>
    </w:p>
    <w:p>
      <w:r>
        <w:rPr>
          <w:b/>
        </w:rPr>
        <w:t>E. 2.2</w:t>
      </w:r>
    </w:p>
    <w:p>
      <w:r>
        <w:t>En dehors des cas de défense obligatoire au sens de l’art. 130 CPP, l'art. 132 al. 1 let. b CPP soumet le droit à l'assistance d'un défenseur d'office aux conditions que le prévenu soit indigent et que la sauvegarde de ses intérêts justifie une telle assistance, ces deux conditions étant cumulatives (TF 6B_832/2018 du 22 octobre 2018 consid. 5.1 ; Harari/Aliberti, op. cit., n. 55 ad art. 132 CPP). L’art. 132 al. 1 let. b CPP codifie la jurisprudence en matière de défense d'office rendue par le Tribunal fédéral avant l'entrée en vigueur du Code de procédure pénale suisse (ATF 143 I 164 consid. 3.5 ; Harari/Aliberti, op. cit., nn. 60 ss ad art. 132 CPP). S’agissant de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Harari/Aliberti, op. cit., n. 33 ad art. 132 CPP). Aux termes de l’art. 132 al. 2 CPP, la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La deuxième condition posée par l’art. 132 al. 1 let. b CPP s'interprète à l'aune des critères mentionnés à l'art. 132 al. 2 et 3 CPP (Harari/Aliberti, op. cit., nn. 60 ss ad art. 132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particulière qu'a pour le requérant la décision à prendre, avec une certaine réserve lorsque sont en cause principalement ses intérêts financiers (TF 1B_374/2018 du 4 septembre 2018 consid. 2.1; ATF 128 I 225 précité consid. 2.5.2). En revanche, dans les « cas bagatelle » – soit, selon le Tribunal fédéral, ceux dans lesquels il ne risque qu'une peine de courte durée ou une amende –, le prévenu n'a jamais de droit constitutionnel à la désignation d'un défenseur d'office gratuit (ATF 128 I 225 précité; TF 6B_304/2007 du 15 août 2008 consid. 5.2 ; Harari/Aliberti, op. cit., n. 67 ad art. 132 CPP). Le Tribunal fédéral a ainsi qualifié de peu de gravité, ne justifiant pas la désignation d’un défenseur d’office, le cas d’un conducteur condamné pour violation graves des règles de la circulation routière au sens de l’art. 90 al. 2 LCR à 60 jours-amende (TF 1B_374/2018 du 4 septembre 2018 consid. 2.2).</w:t>
      </w:r>
    </w:p>
    <w:p>
      <w:r>
        <w:rPr>
          <w:b/>
        </w:rPr>
        <w:t>E. 2.3</w:t>
      </w:r>
    </w:p>
    <w:p>
      <w:r>
        <w:t>En l’espèce, le recourant ne se trouve pas dans un cas de défense obligatoire. En particulier, il n’est pas et n’a jamais été détenu provisoirement pour les besoins de la présente cause. A la lecture de l’ordonnance du 14 janvier 2020, à laquelle il a formé opposition, on constate que la peine qu’il encourt concrètement est nettement inférieure à un an de privation de liberté et qu’il ne s’expose pas à une expulsion pénale. Au demeurant, le Ministère public n’a pas indiqué qu’il entendait intervenir dans la procédure si elle devait être engagée par devant le tribunal de première instance et il n’est pas question de procédure simplifiée. S’agissant des problèmes de santé invoqués par le recourant, dont il argue qu’ils font de lui « un patient chronique » , soit notamment des « douleurs chroniques » et des « causes à effets » des différents médicaments qu’il prend, aucun élément au dossier – en particulier aucun des rapports médicaux produits en cours de procédure ou à l’appui du recours cf. (P.</w:t>
      </w:r>
    </w:p>
    <w:p>
      <w:r>
        <w:rPr>
          <w:b/>
        </w:rPr>
        <w:t>E. 4</w:t>
      </w:r>
    </w:p>
    <w:p>
      <w:r>
        <w:t>F à K) – ne laisse penser que ceux-ci empêcheraient le recourant de comprendre les accusations portées à son encontre, de participer à la procédure ou d’y défendre ses intérêts. En définitive, le recourant ne pourrait donc prétendre à la désignation d’un défenseur d’office que si les conditions de l’art. 132 al. 1 let. b CPP étaient remplies. Or, X.________ n’encourt concrètement qu’une peine de l’ordre de 60 jours-amende avec sursis. La cause constitue donc un cas-bagatelle au sens de la jurisprudence précitée. Elle ne présente, au demeurant, pas non plus de difficulté sur le plan juridique, que ce soit sur le plan procédural ou s'agissant de l'infraction de faux dans les certificats qui est reprochée au recourant. C’est donc à bon droit que la Procureure a considéré que l’assistance d’un défenseur n’était pas justifiée pour sauvegarder les intérêts du prévenu et qu’elle a dès lors refusé de lui désigner un avocat d’office. 3. Il résulte de ce qui précède que le recours, manifestement mal fondé, doit être rejeté sans échange d’écritures (art. 390 al. 2 CPP) et l’ordonnance contestée confirmée.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1 re phrase, CPP). Par ces motifs, la Chambre des recours pénale prononce : I. Le recours est rejeté. II. L’ordonnance du 9 mars 2020 est confirmée. III. Les frais d’arrêt, par 660 fr. (six cent soixante francs), sont mis à la charge de X.________. IV. L’arrêt est exécutoire. Le président :               La greffière : Du Le présent arrêt, dont la rédaction a été approuvée à huis clos, est notifié, par l'envoi d'une copie complète, à : - M. X.________,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