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239 vom 24. März 2020</w:t>
      </w:r>
    </w:p>
    <w:p>
      <w:r>
        <w:t>VD Tribunal cantonal, 2020-03-24, FR</w:t>
      </w:r>
    </w:p>
    <w:p>
      <w:r>
        <w:rPr>
          <w:b/>
        </w:rPr>
        <w:t xml:space="preserve">Quelle: </w:t>
      </w:r>
      <w:r>
        <w:t>https://mcp.opencaselaw.ch/entscheid/vd_findinfo_D_cision___2020___239</w:t>
      </w:r>
    </w:p>
    <w:p>
      <w:r>
        <w:t>FR: VD_FINDINFO Décision / 2020 / 239 du 24 mars 2020</w:t>
      </w:r>
    </w:p>
    <w:p>
      <w:r>
        <w:t>IT: VD_FINDINFO Décision / 2020 / 239 del 24 marzo 2020</w:t>
      </w:r>
    </w:p>
    <w:p>
      <w:pPr>
        <w:pStyle w:val="Heading2"/>
      </w:pPr>
      <w:r>
        <w:t>Regeste</w:t>
      </w:r>
    </w:p>
    <w:p>
      <w:r>
        <w:t>CLASSEMENT DE LA PROCÉDURE, FRAIS DE LA PROCÉDURE, DÉPENS | 426 al. 2 CPP (CH), 430 al. 1 let. a CPP (CH)</w:t>
      </w:r>
    </w:p>
    <w:p>
      <w:pPr>
        <w:pStyle w:val="Heading2"/>
      </w:pPr>
      <w:r>
        <w:t>Erwägungen</w:t>
      </w:r>
    </w:p>
    <w:p>
      <w:r>
        <w:rPr>
          <w:b/>
        </w:rPr>
        <w:t>E. 1.1</w:t>
      </w:r>
    </w:p>
    <w:p>
      <w:r>
        <w:t>Interjeté en temps utile contre une ordonnance de classement rendue par le Ministère public (art. 322 al. 2 et 396 al. 1 CPP ; cf. art. 20 al. 1 let. b CPP [Code de procédure pénale suisse du 5 octobre 2007 ; RS 312.0]), par une partie qui a qualité pour recourir (art. 382 al. 1 CPP) et dans les formes prescrites (art. 385 al. 1 CPP), le recours de W.________ est recevable.</w:t>
      </w:r>
    </w:p>
    <w:p>
      <w:r>
        <w:rPr>
          <w:b/>
        </w:rPr>
        <w:t>E. 1.2</w:t>
      </w:r>
    </w:p>
    <w:p>
      <w:r>
        <w:t>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 [Loi d'organisation judiciaire du 12 décembre 1979 ; BLV 173.01]).</w:t>
      </w:r>
    </w:p>
    <w:p>
      <w:r>
        <w:rPr>
          <w:b/>
        </w:rPr>
        <w:t>E. 2.1</w:t>
      </w:r>
    </w:p>
    <w:p>
      <w:r>
        <w:t>Le recourant reproche au Ministère public d’avoir mis les frais de procédure à sa charge et d’avoir ainsi, en violation du principe de la présomption d’innocence, trouvé un moyen de lui infliger une sorte de sanction pénale. Il relève qu’il a toujours nié avoir violé un quelconque devoir lui incombant de par sa fonction d’administrateur, encore moins en omettant de tenir une comptabilité régulière, et qu’aucun élément ne permettrait de retenir la moindre responsabilité civile de sa part. Le recourant reproche également au Ministère public d’avoir refusé de lui allouer une indemnité fondée sur l’art. 429 CPP. A cet égard, il invoque une violation de son droit d’être entendu et le déni de justice. Il fait valoir que, par courrier du 5 octobre 2018, il avait sollicité l’octroi d’une telle indemnité et que celle-ci portait sur l’entier de la procédure pénale, et non seulement le volet de l’enquête ayant fait l’objet de l’ordonnance de classement du 1 er février 2019.</w:t>
      </w:r>
    </w:p>
    <w:p>
      <w:r>
        <w:rPr>
          <w:b/>
        </w:rPr>
        <w:t>E. 2.2</w:t>
      </w:r>
    </w:p>
    <w:p>
      <w:r>
        <w:t>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consid. 2.2 ; TF 6B_886/2018 du 31 octobre 2018 consid. 2.1.1). Le fait de violer diverses normes juridiques en matière de sociétés anonymes constitue un comportement illicite (Fontana, in : Jeanneret/Kuhn/Perrier Depeursinge [éd.], Commentaire romand, Code de procédure pénale suisse, 2 e éd., Bâle 2019, n. 2 ad art. 426 CPP et l’arrêt 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du 31 octobre 2018 consid. 2.1.1).</w:t>
      </w:r>
    </w:p>
    <w:p>
      <w:r>
        <w:rPr>
          <w:b/>
        </w:rPr>
        <w:t>E. 2.2.1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(ATF 144 IV 202 consid. 2.2 et les arrêts cités ; TF 6B_886/2018 du 31 octobre 2018 consid. 2.1.1).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w:t>
      </w:r>
    </w:p>
    <w:p>
      <w:r>
        <w:rPr>
          <w:b/>
        </w:rPr>
        <w:t>E. 2.2.2</w:t>
      </w:r>
    </w:p>
    <w:p>
      <w:r>
        <w:t>En vertu de l'art. 430 al. 1 let. a CPP, l'autorité pénale peut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 TF 6B_548/2018 du 18 juillet 2018 consid. 1.1.2). Lorsque la condamnation aux frais n'est que partielle, la réduction de l'indemnité devrait s'opérer dans la même mesure (TF 6B_548/2018 du 18 juillet 2018 consid. 1.1.2 et les arrêts cités). En revanche, si l'Etat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 TF 6B_548/2018 du 18 juillet 2018 consid. 1.1.2 et l’arrêt cité).</w:t>
      </w:r>
    </w:p>
    <w:p>
      <w:r>
        <w:rPr>
          <w:b/>
        </w:rPr>
        <w:t>E. 2.3.1</w:t>
      </w:r>
    </w:p>
    <w:p>
      <w:r>
        <w:t>En l’espèce, le recourant n’a été libéré de l’infraction d’inobservation des prescriptions légales sur la comptabilité qu’en raison de la prescription, et non pas parce que les conditions de cette contravention n’étaient pas réalisées. Dans ce cadre, il était reproché à l’intéressé de ne pas avoir tenu, entre le 1 er janvier et le 30 décembre 2015, en sa qualité d’administrateur de R.________, de comptabilité séparée pour la société simple qu’il avait créée avec T.________, notamment, et de l’avoir intégrée dans la comptabilité de la société précitée. Or, en adoptant un tel comportement, W.________ a manifestement contrevenu à ses obligations de tenir une comptabilité régulière au sens de l’art. 957 CO. Le prénommée soutient sur ce point qu’il n’aurait pas engagé sa responsabilité civile parce qu’il n’aurait commis aucun dommage. Cependant, cela n’y change rien, la survenance d’un dommage n’étant en l’occurrence pas déterminante (cf. en ce sens TF 6B_20/2017 du 6 septembre 2017 consid. 7.3). Ainsi, en agissant comme il l’a fait, le recourant a adopté un comportement illicite et fautif sur le plan civil. En outre, ce comportement a donné lieu à l’ouverture de la procédure pénale, dès lors que T.________ a déposé plainte parce qu’il n’arrivait pas identifier les pertes et profits réalisés par la société simple qu’il avait créée avec le recourant (P. 4, p. 7ss). Dans ces conditions, c’est à juste titre que le Ministère public a décidé de mettre les frais de procédure de l’ordonnance de classement du 24 février 2020 à sa charge. A cet égard, on relève que la répartition opérée par le Procureur, non contestée en tant que telle par le recourant, ne prête pas le flanc à la critique.</w:t>
      </w:r>
    </w:p>
    <w:p>
      <w:r>
        <w:rPr>
          <w:b/>
        </w:rPr>
        <w:t>E. 2.3.2</w:t>
      </w:r>
    </w:p>
    <w:p>
      <w:r>
        <w:t>Dans l’ordonnance attaquée, le Ministère public a refusé d’allouer une indemnité au sens de l’art. 429 CPP au motif que le recourant n’en n’avait sollicité aucune. Or, comme l’a relevé l’intéressé dans son recours, le Procureur ne peut être suivi sur ce point. En effet, dans son ordonnance de classement du 1 er février 2019, le Ministère public avait implicitement considéré que le recourant avait sollicité une indemnité au sens de l’art. 429 CPP pour l’ensemble de la procédure, y compris s’agissant de la contravention d’inobservation des prescriptions légales sur la comptabilité, dès lors que, dans cette ordonnance, il avait expressément indiqué que cette indemnité devait être réduite à hauteur d’un cinquième pour tenir compte de sa condamnation pour ce chef d’accusation. Cela étant, dans la mesure où, pour les motifs développés ci-dessus, les frais de la procédure doivent être mis à la charge du recourant sur ce point, celui-ci n’a pas droit, selon l’art. 430 al. 1 let. a CPP et la jurisprudence y relative, à l’allocation d’une indemnité au sens de l’art. 429 al. 1 let. a CPP. Ainsi, par substitution de motifs, l’ordonnance attaquée doit également être confirmée sur ce point.</w:t>
      </w:r>
    </w:p>
    <w:p>
      <w:r>
        <w:rPr>
          <w:b/>
        </w:rPr>
        <w:t>E. 3</w:t>
      </w:r>
    </w:p>
    <w:p>
      <w:r>
        <w:t>Il résulte de ce qui précède que le recours, mal fondé, doit être rejeté et l’ordonnance attaquée confirmée. Les frais de la procédure de recours, constitués du seul émolument d’arrêt, par 900 fr. (art. 20 al. 1 TFIP [Tarif des frais judiciaires de procédure et indemnités en matière pénale du 28 septembre 2010 ; BLV 312.03.1]), seront mis à la charge du recourant, qui succombe (art. 428 al. 1 CPP). Par ces motifs, le juge unique prononce : I. Le recours est rejeté. II. L’ordonnance du 24 février 2020 est confirmée. III. Les frais d’arrêt, par 900 fr. (neuf cents francs), sont mis à la charge de W.________. IV. L’arrêt est exécutoire. Le juge unique :               Le greffier : Du Le présent arrêt, dont la rédaction a été approuvée à huis clos, est notifié, par l'envoi d'une copie complète, à : - Me Cédric Aguet, avocat (pour W.________), - M. T.________,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