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233 vom 6. März 2020</w:t>
      </w:r>
    </w:p>
    <w:p>
      <w:r>
        <w:t>VD Tribunal cantonal, 2020-03-06, FR</w:t>
      </w:r>
    </w:p>
    <w:p>
      <w:r>
        <w:rPr>
          <w:b/>
        </w:rPr>
        <w:t xml:space="preserve">Quelle: </w:t>
      </w:r>
      <w:r>
        <w:t>https://mcp.opencaselaw.ch/entscheid/vd_findinfo_D_cision___2020___233</w:t>
      </w:r>
    </w:p>
    <w:p>
      <w:r>
        <w:t>FR: VD_FINDINFO Décision / 2020 / 233 du 6 mars 2020</w:t>
      </w:r>
    </w:p>
    <w:p>
      <w:r>
        <w:t>IT: VD_FINDINFO Décision / 2020 / 233 del 6 marzo 2020</w:t>
      </w:r>
    </w:p>
    <w:p>
      <w:pPr>
        <w:pStyle w:val="Heading2"/>
      </w:pPr>
      <w:r>
        <w:t>Regeste</w:t>
      </w:r>
    </w:p>
    <w:p>
      <w:r>
        <w:t>RETRAIT{VOIE DE DROIT}, CLASSEMENT DE LA PROCÉDURE, REJET DE LA DEMANDE | 33 al. 3 CP, 310 CPP (CH)</w:t>
      </w:r>
    </w:p>
    <w:p>
      <w:pPr>
        <w:pStyle w:val="Heading2"/>
      </w:pPr>
      <w:r>
        <w:t>Erwägungen</w:t>
      </w:r>
    </w:p>
    <w:p>
      <w:r>
        <w:rPr>
          <w:b/>
        </w:rPr>
        <w:t>E. 1</w:t>
      </w:r>
    </w:p>
    <w:p>
      <w:r>
        <w:t>Interjeté en temps utile (art. 322 al. 2 et 396 al. 1 CPP [Code de procédure pénale suisse du 5 octobre 2007 ; RS 312.0]), contre une ordonnance de classement rendue par le ministère public (art. 393 al. 1 let. a CPP), par H.________, qui a qualité pour recourir (art. 105 al. 2 CPP et 382 al. 1 CPP), dès lors que la qualité de partie plaignante, dont dépend le sort du recours, lui a été déniée, le recours est recevable, dans les limites de ce qui sera exposé ci-dessous (cf. consid. 3 supra).</w:t>
      </w:r>
    </w:p>
    <w:p>
      <w:r>
        <w:rPr>
          <w:b/>
        </w:rPr>
        <w:t>E. 2.1</w:t>
      </w:r>
    </w:p>
    <w:p>
      <w:r>
        <w:t>La recourante conteste l’ordonnance en tant que la qualité de partie plaignante lui est déniée. Elle conteste que le retrait de sa plainte pénale contre V.________ et K.________  puisse profiter à R.________ dans la mesure où les faits qui sont à l’origine des dénonciations calomnieuses seraient parfaitement distincts tant en ce qui concerne les personnes visées que les infractions dénoncées et la date de commission de celles-ci. 2.2.1 Selon l'art. 118 al. 1 CPP, on entend par partie plaignante le lésé qui déclare expressément vouloir participer à la procédure pénale comme demandeur au pénal ou au civil. La notion de lésé est définie à l'art. 115 CPP. Il s'agit de toute personne dont les droits ont été touchés directement par une infraction. 2.2.2 Aux termes de l’art. 33 al. 3 CP, le retrait de la plainte à l’égard de l’un des prévenus profite à tous les autres. Selon la jurisprudence, il ne doit pas être possible de contourner le principe de l’indivisibilité de la plainte (art. 32 CP), qui a pour but d’empêcher que le lésé puisse choisir arbitrairement de faire punir un participant à l’infraction à l’exclusion d’un autre (ATF 105 IV 7 consid. 3 ; TF 6B_185/2011 du 22 décembre 2011 consid. 5 ), et qui s’applique également au retrait, lorsqu’après le dépôt d’une plainte contre tous les participants, cette plainte n’est retirée qu’à l’égard de certains d’entre eux (ATF 132 IV 97 consid. 3.3.1 ; TF 6B_510/2011 du 17 octobre 2011 consid. 2.3).</w:t>
      </w:r>
    </w:p>
    <w:p>
      <w:r>
        <w:rPr>
          <w:b/>
        </w:rPr>
        <w:t>E. 2.3</w:t>
      </w:r>
    </w:p>
    <w:p>
      <w:r>
        <w:t>En l’espèce, une seule plainte a été déposée par H.________, le 25 novembre 2016, contre les trois protagonistes, pour la même infraction. Si les faits ne sont effectivement pas tous identiques, il n’en demeure pas moins que ceux-ci s’inscrivent dans le même contexte de relations houleuses. La plainte de H.________ concerne en outre des faits présentant un rapport de connexité et s’inscrivant dans un litige étroit la divisant de longue date avec ses différents opposants, en particulier [...] et R.________ (P. 7 et P. 8). A cela s’ajoute que la plainte déposée par H.________ faisait suite à des accusations pour des faits que les prévenus lui reprochaient d’avoir commis entre le 15 et le 28 août 2016, soit dans un laps de temps restreint, ce qui renforce encore le lien de connexité, pour autant que cela soit nécessaire. Dès lors, il y a effectivement lieu de considérer que le retrait de plainte du 8 novembre 2019 doit bénéficier à tous les prévenus visés par la plainte, faute de quoi le principe de l’indivisibilité serait violé. Ainsi, comme l’a retenu à bon droit la Procureure, la recourante a bien retiré sa constitution de partie plaignante au pénal à l’égard des trois prévenus, de sorte qu’elle ne dispose plus de la qualité de partie plaignante. Partant, la plainte étant également retirée à l’égard de D.________ Sàrl (R.________), c’est à bon droit que le Ministère public a nié la qualité de partie à la recourante. Partant, le recours doit être rejeté en tant qu’il porte sur la qualité de partie plaignante de H.________, étant précisé que la réquisition tendant à la production du dossier relatif à la procédure pénale dirigée contre la prénommée sous référence PE16.016564-JRU n’est pas pertinente et peut être rejetée, dès lors que bon nombre de pièces du dossier requis ont d’ores et déjà été produites dans la présente affaire (P. 5, P. 7 et P. 8) et que les éléments du dossier sont suffisants pour permettre de statuer sur ce point.</w:t>
      </w:r>
    </w:p>
    <w:p>
      <w:r>
        <w:rPr>
          <w:b/>
        </w:rPr>
        <w:t>E. 3</w:t>
      </w:r>
    </w:p>
    <w:p>
      <w:r>
        <w:t>Dès lors que H.________ n’a pas la qualité de partie (cf. consid 2 supra), elle n’a donc pas la qualité pour contes ter le raisonnement du Ministère public sur l’absence de dénonciation calomnieuse, infraction que cette autorité a appréhendé d’office. Le recours se révèle ainsi irrecevable sur ce point.</w:t>
      </w:r>
    </w:p>
    <w:p>
      <w:r>
        <w:rPr>
          <w:b/>
        </w:rPr>
        <w:t>E. 4</w:t>
      </w:r>
    </w:p>
    <w:p>
      <w:r>
        <w:t>En définitive, mal fondé, le recours doit être rejeté dans la mesure de sa recevabilité, sans échange d’écritures (art. 390 al. 2 CPP), et l’ordonnance du 28 novembre 2019 confirmée. Les frais de la procédure de recours, constitués en l’espèce du seul émolument d’arrêt, par 550 fr., (art. 20 al. 1 TFIP [tarif des frais de procédure et indemnités en matière pénale du 29 septembre 2010 ; BLV 312.03.1), seront mis à la charge de la recourante, qui succombe (art. 428 al. 1 CPP). Par ces motifs, la Chambre des recours pénale prononce : I. Le recours est rejeté dans la mesure où il est recevable. II. L’ordonnance du 28 novembre 2019 est confirmée. III. Les frais d’arrêt, par 550 fr. (cinq cent cinquante francs), sont mis à la charge de la recourante. IV. L’arrêt est exécutoire. Le président :               La greffière : Du Le présent arrêt, dont la rédaction a été approuvée à huis clos, est notifié, par l'envoi d'une copie complète, à : - Me Christian Dénériaz, avocat (pour H.________), - Me Kieu-Oanh Nguyen, avocate, pour (V.________, K.________ et R.________),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