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228 vom 17. März 2020</w:t>
      </w:r>
    </w:p>
    <w:p>
      <w:r>
        <w:t>VD Tribunal cantonal, 2020-03-17, FR</w:t>
      </w:r>
    </w:p>
    <w:p>
      <w:r>
        <w:rPr>
          <w:b/>
        </w:rPr>
        <w:t xml:space="preserve">Quelle: </w:t>
      </w:r>
      <w:r>
        <w:t>https://mcp.opencaselaw.ch/entscheid/vd_findinfo_D_cision___2020___228</w:t>
      </w:r>
    </w:p>
    <w:p>
      <w:r>
        <w:t>FR: VD_FINDINFO Décision / 2020 / 228 du 17 mars 2020</w:t>
      </w:r>
    </w:p>
    <w:p>
      <w:r>
        <w:t>IT: VD_FINDINFO Décision / 2020 / 228 del 17 marzo 2020</w:t>
      </w:r>
    </w:p>
    <w:p>
      <w:pPr>
        <w:pStyle w:val="Heading2"/>
      </w:pPr>
      <w:r>
        <w:t>Regeste</w:t>
      </w:r>
    </w:p>
    <w:p>
      <w:r>
        <w:t>PLAINTE PÉNALE, NON-LIEU, RETRAIT{VOIE DE DROIT}, DROIT PÉNAL DES MINEURS | 30 CP, 33 CP, 310 CPP (CH)</w:t>
      </w:r>
    </w:p>
    <w:p>
      <w:pPr>
        <w:pStyle w:val="Heading2"/>
      </w:pPr>
      <w:r>
        <w:t>Erwägungen</w:t>
      </w:r>
    </w:p>
    <w:p>
      <w:r>
        <w:rPr>
          <w:b/>
        </w:rPr>
        <w:t>E. 1.1</w:t>
      </w:r>
    </w:p>
    <w:p>
      <w:r>
        <w:t>et les références citées).</w:t>
      </w:r>
    </w:p>
    <w:p>
      <w:r>
        <w:rPr>
          <w:b/>
        </w:rPr>
        <w:t>E. 1.2</w:t>
      </w:r>
    </w:p>
    <w:p>
      <w:r>
        <w:t>En l'espèce, l'ordonnance entreprise n'a pas été notifiée à D.________ – ni aux parents de celle-ci –, laquelle n'en a eu connaissance que par son conseil de choix, Me Raphaël Brochellaz, lorsque celui-ci a consulté le dossier au Tribunal des mineurs le 27 novembre 2019. Dans ces conditions, le délai légal de dix jours (art. 322 al. 2 CPP; art. 396 al. 1 CPP) a commencé à courir le 28 novembre 2019 et venait à échéance le 7 décembre 2019. Interjeté la veille de cette date, le</w:t>
      </w:r>
    </w:p>
    <w:p>
      <w:r>
        <w:rPr>
          <w:b/>
        </w:rPr>
        <w:t>E. 3</w:t>
      </w:r>
    </w:p>
    <w:p>
      <w:r>
        <w:t>al. 1 DPMin (loi fédérale du 20 juin 2003 régissant la condition pénale des mineurs ; RS 311.1), ainsi que l’exécution des sanctions prononcées à l’encontre de ceux-ci (art. 1 PPMin). Sauf dispositions particulières de la PPMin, le CPP (Code de procédure pénale suisse du 5 octobre 2007 ;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Niggli/Heer/Wiprächtiger [éd.], Basler Kommentar, Schweizerische Strafprozess-ordnung, Jugendstrafprozessordnung, Art. 196-457 StPO – Art. 1-54 JStPO, 2e éd., Bâle 2014, n. 1 ad art. 30 PPMin ; CREP 18 septembre 2019/756 consid. 1.1 et les références citées). La recevabilité et les motifs du recours sont régis par l’art. 393 CPP (art. 39 al. 1 PPMin). La compétence pour statuer sur les recours appartient à l'autorité de recours des mineurs (art. 39 al. 3 PPMin ; cf. art. 7 al. 1 let. c PPMin) qui, dans le canton de Vaud, est la Chambre des recours pénale du Tribunal cantonal (art. 18 LVPPMin ; CREP 18 septembre 2019/756 consid.</w:t>
      </w:r>
    </w:p>
    <w:p>
      <w:r>
        <w:rPr>
          <w:b/>
        </w:rPr>
        <w:t>E. 3.1</w:t>
      </w:r>
    </w:p>
    <w:p>
      <w:r>
        <w:t>Aux termes de l'art. 126 CP, celui qui se sera livré sur une personne à des voies de fait qui n'auront causé ni lésion corporelle ni atteinte à la santé sera, sur plainte, puni d'une amende (al. 1). Selon l'art. 180 al. 1 CP, celui qui, par une menace grave, aura alarmé ou effrayé une personne sera, sur plainte, puni d'une peine privative de liberté de trois ans au plus ou d'une peine pécuniaire.</w:t>
      </w:r>
    </w:p>
    <w:p>
      <w:r>
        <w:rPr>
          <w:b/>
        </w:rPr>
        <w:t>E. 3.2</w:t>
      </w:r>
    </w:p>
    <w:p>
      <w:r>
        <w:t>Aux termes de l’art. 33 al. 1 CP, l’ayant droit peut retirer sa plainte tant que le jugement de deuxième instance cantonale n’a pas été prononcé. Le Tribunal fédéral a estimé que la volonté interne de retirer la plainte ne suffisait pas et a exigé une manifestation de la volonté de retrait exprimée de manière non équivoque (ATF 89 IV 57 consid. 3a, JdT 1963 IV 66 ; CREP 12 octobre 2016/675 consid. 3.1 et réf.). 4. En l’espèce, le premier juge a retenu que les conditions de l'ouverture d'une action pénale n'étaient manifestement pas réunies dès lors que les infractions reprochées au prévenu ne se poursuivaient que sur plainte et que celle-ci avait été retirée. La recourante conteste cette analyse. Elle fait valoir qu'elle se serait valablement constituée partie plaignante le 23 avril 2019, comme elle pouvait le faire au vu de son âge [(elle avait plus de 10 ans au moment de son dépôt de plainte ; art. 3 CPMin (loi fédérale régissant la condition pénale des mineurs du 20 juin 2003 ; RS 311.1)] , dès lors qu'elle était capable de discernement (art. 16 CC) et s'agissant d'un droit strictement personnel qu'elle pouvait exercer sans le consentement de son représentant légal (art. 19 al. 2 CC). Sa plainte étant indépendante de celle déposée par son père, le retrait de plainte de ce dernier n'aurait aucun effet sur la sienne. Sa plainte ne pourrait dès lors être considérée comme retirée et le Tribunal des mineurs ne pourrait pas retenir que les conditions d'ouverture de l'action pénale n'étaient pas remplies faute de plainte à l'encontre d'U.________. Or, on cherche en vain dans ce dossier une plainte déposée par la recourante. Son écrit du 23 avril 2019 (P. 8) est intitulé " Déposition D.________ mardi 23 avril 2019" et ne fait pas état de la volonté de déposer plainte ni de solliciter l’action pénale à l’encontre d’U.________ . Seul son père l'a signé de sa main. D'ailleurs, c'est en tant que personne appelée à donner des renseignements que la recourante a été entendue le 30 juin 2019 (PV- aud. 2 page 1) et non pas comme plaignante. A cette occasion, si la recourante a confirmé et précisé le contenu de son écrit du 23 avril 2019, elle n'a pas davantage manifesté sa volonté de déposer ou de confirmer une quelconque plainte. Au contraire, elle a indiqué à la police qu'elle avait revu le prévenu, qu'ils ne s'étaient pas "reparlé" , que c'était "fini" , qu'il n'allait plus au terrain de jeu, tandis qu'elle y retournait. Elle n'avait plus peur d'y aller puisque qu’U.________ ne s'y rendait plus (PV-aud. 2 page 4). Ainsi, on peut tenir pour constant que la seule plainte qui a été déposée est celle du père d’D.________, L.________, plainte que ce dernier a formellement et expressément retirée le 14 juillet 2019 en indiquant que c'était pour préserver son équilibre physique et psychique et celui de sa famille (P. 9). Un tel retrait de plainte, qui a entraîné l'arrêt des investigations policières (P. 4), répond aux exigences de l'art. 33 al. 1 CP ci-dessus. Il est valable. Dès lors que les infractions reprochées à U.________ (voies de fait et menaces) ne se poursuivent que sur plainte (cf. consid. 3 supra) et que celle-ci a été valablement retirée (cf. consid. 4.2 supra), l'art. 310 al. 1 let. b CPP est applicable (cf. consid. 2 supra, in fine ) et c'est à juste titre que la Présidente du Tribunal des mineurs a refusé d'entrer en matière. 5. Il résulte de ce qui précède que le recours doit être rejeté sans échange d’écritures (art. 390 al. 2 CPP) et l’ordonnance attaquée confirmée. Les frais de la procédure de recours, constitués en l'espèce du seul émolument d'arrêt, par 495 fr. (art. 20 al. 2 TFIP [Tarif des frais de procédure et indemnités en matière pénale du 28 septembre 2010; BLV 312.03.1]), seront mis à la charge de la recourante, qui succombe (art. 428 al. 1 CPP), par ses représentants légaux L.________ et [...]. Par ces motifs, la Chambre des recours pénale prononce : I. Le recours est rejeté. II. L’ordonnance du 27 août 2019 est confirmée. III. Les frais d’arrêt, par 495 fr. (quatre cent nonante-cinq francs), sont mis à la charge de la recourante, D.________, par ses représentants légaux L.________ et [...]. IV. L'arrêt est exécutoire. Le président :               La greffière : Du Le présent arrêt, dont la rédaction a été approuvée à huis clos, est notifié, par l'envoi d'une copie complète, à : - Me Raphaël Brochellaz, avocat (pour D.________), - M. U.________, - Mme et M [...] - Ministère public central, et communiqué à : - Mme la Présidente du Tribunal des mineurs,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décembre 2019, le recours d'D.________ est recevable et il n'y a pas lieu d'examiner sa demande de restitution de délai de recours, qui est sans objet. 2. Conformément à l'art. 310 al. 1 let. a CPP, le Ministère public – respectivement le juge des mineurs (cf. art. 3 al. 1 et 2 a contrario PPMin) – rend immédiatement – c'est-à-dire sans qu'une instruction soit ouverte (art. 309 al. 1 et 4 CPP; TF 1B_111/2012 du 5 avril 2012 consid. 2.1; Cornu, in : Jeanneret/Kuhn/Perrier Depeursinge [éd.], Commentaire romand, Code de procédure pénale suisse, 2 e éd., Bâle 2019,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1B_709/2012 du 21 février 2013 consid. 3.1 ; TF 6B_1238/2018 du 16 janvier 2019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références citées, JdT 2012 IV 160). En revanche, le Ministère public – respectivement le juge des mineurs – doit pouvoir rendre une ordonnance de non-entrée en matière dans les cas où il apparaît d’emblée qu’aucun acte d’enquête ne pourra apporter la preuve d’une infraction à la charge d’une personne déterminée (TF 6B_541/2017 du 20 décembre 2017 consid. 2.2 ; CREP 12 mars 2020/195 consid. 2.1 et réf.). Le retrait de la plainte (Moreillon/ Parein-Reymond, Petit commentaire du CPP, 2 e éd., Bâle 2016, n. 13 ad art. 310 CPP), doit être assimilé à un empêchement de procéder au sens de l’art. 310 al. 1 let. b CPP, du moins lorsqu’aucune infraction poursuivie d’office n’est en cause (CREP 15 février 2018/116 ; CREP 7 juillet 2017/462 ; CREP 12 décembre 2013/818 ; CREP 26 mars 2019/238 consid. 3.1 in fine et réf.).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