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198 vom 10. März 2020</w:t>
      </w:r>
    </w:p>
    <w:p>
      <w:r>
        <w:t>VD Tribunal cantonal, 2020-03-10, FR</w:t>
      </w:r>
    </w:p>
    <w:p>
      <w:r>
        <w:rPr>
          <w:b/>
        </w:rPr>
        <w:t xml:space="preserve">Quelle: </w:t>
      </w:r>
      <w:r>
        <w:t>https://mcp.opencaselaw.ch/entscheid/vd_findinfo_D_cision___2020___198</w:t>
      </w:r>
    </w:p>
    <w:p>
      <w:r>
        <w:t>FR: VD_FINDINFO Décision / 2020 / 198 du 10 mars 2020</w:t>
      </w:r>
    </w:p>
    <w:p>
      <w:r>
        <w:t>IT: VD_FINDINFO Décision / 2020 / 198 del 10 marzo 2020</w:t>
      </w:r>
    </w:p>
    <w:p>
      <w:pPr>
        <w:pStyle w:val="Heading2"/>
      </w:pPr>
      <w:r>
        <w:t>Regeste</w:t>
      </w:r>
    </w:p>
    <w:p>
      <w:r>
        <w:t>DÉCISION D'IRRECEVABILITÉ, DÉLAI DE RECOURS | 385 al. 1 CPP (CH), 385 al. 2 CPP (CH), 385 CPP (CH)</w:t>
      </w:r>
    </w:p>
    <w:p>
      <w:pPr>
        <w:pStyle w:val="Heading2"/>
      </w:pPr>
      <w:r>
        <w:t>Erwägungen</w:t>
      </w:r>
    </w:p>
    <w:p>
      <w:r>
        <w:rPr>
          <w:b/>
        </w:rPr>
        <w:t>E. 1</w:t>
      </w:r>
    </w:p>
    <w:p>
      <w:r>
        <w:t>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2</w:t>
      </w:r>
    </w:p>
    <w:p>
      <w:r>
        <w:t>CPP.</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"les points de la décision"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 e éd., Bâle 2014, n. 1a ad art. 385 CPP ; CREP 3 février 2020/5 consid. 4 et les références citées). Le recourant doit ensuite énoncer "les motifs qui commandent une autre décision" (art. 385 al. 1 let. b CPP), à savoir les arguments, de fait ou de droit, sur lesquels il prétend se fonder pour faire modifier la décision en sa faveur (Pitteloud, op. et loc. cit. ; Lieber, in : Donatsch/Hansjakob/Lieber [éd.], Kommentar zur Schweizerischen Strafprozessordnung, 2 e éd., Zurich/Bâle/Genève 2014, n. 2 ad art. 385 CPP). Ainsi, il doit indiquer dans quelle mesure et sous quel angle il entend critiquer l’établissement des faits ou l’application du droit (Calame, in : Jeanneret/ Kuhn/Perrier Depeursinge [éd.], Commentaire romand, Code de procédure pénale suisse, 2 e éd., Bâle 2019, n. 20 ad art. 385 CPP; CREP 3 février 2020/5 consid. 4 et réf.). Même si l’autorité de recours applique le droit d'office, l’affaire se présente différemment en deuxième instance, vu les décisions déjà rendues.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les ordonnances attaquées sont entachées d'erreurs. Il ne peut le faire qu'en reprenant la démarche du procureur et en mettant le doigt sur les failles de son raisonnement. Si la motivation du recours est identique aux moyens qui avaient déjà été présentés devant le procureur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 (CREP 6 mars 2019/179 consid. 2.1 ; CREP 5 juin 2018/418 consid. 3.2.1 ; CREP 31 mai 2016/355 confirmé sur ce point par l'arrêt du TF 6B_991/2016 du 3 novembre 2017 consid. 2.2.3 ; CREP 26 août 2019/695 consid. 1.2 et les réf. citées).</w:t>
      </w:r>
    </w:p>
    <w:p>
      <w:r>
        <w:rPr>
          <w:b/>
        </w:rPr>
        <w:t>E. 2.2</w:t>
      </w:r>
    </w:p>
    <w:p>
      <w:r>
        <w:t>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(cf. TF 6B_260/2018 du 15 mars 2018 consid. 5.2 et la référence citée; 6B_347/2016 du 10 février 2017 consid. 4.1; 6B_207/2014 du 2 février 2015 consid. 5.3; cf. ATF 134 II 244 consid. 2.4.2 et 2.4.3 p. 247 s. et encore plus récemment TF 6B_510/2018 du 31 juillet 2018 consid. 1 et les références citées). Elle ne saurait dès lors être complétée ou corrigée ultérieurement, étant précisé l’art. 385 al. 2 CPP ne doit pas être appliqué afin de détourner la portée de l’art. 89 al. 1 CPP, qui interdit la prolongation des délais fixés par la loi et n’autorise pas la partie à compléter un acte dépourvu de motivation (TF 1B_232/2017 du 19 juillet 2017 consid. 2.4.3 ; TF 6B_347/2016 du 10 février 2017 consid. 4.1 et les réf. citées ; CREP 26 novembre 2018/914 consid. 1.2 ; CREP 3 février 2020/5 consid. 4 et ref.).</w:t>
      </w:r>
    </w:p>
    <w:p>
      <w:r>
        <w:rPr>
          <w:b/>
        </w:rPr>
        <w:t>E. 2.3</w:t>
      </w:r>
    </w:p>
    <w:p>
      <w:r>
        <w:t>En l'espèce, la décision de refus de restitution de délai du 13 février 2020 constate que la notification de l'ordonnance pénale du 20 janvier 2020 était régulière et que le non-respect du délai d'opposition est dû un comportement fautif du recourant. Ce dernier a développé ses moyens dans un acte de recours qui ne fait pas de distinction claire entre les différentes décisions contestées. Bien qu'il indique faire "suite au courrier du Tribunal de l'arrondissement du 13 février 2020" , le recourant semble vouloir contester les faits retenus à son encontre dans l'ordonnance pénale du 20 janvier 2020 et ajoute n'avoir ─ pour cause de maladie ─ pas eu assez de temps pour réunir les pièces utiles à la motivation de son recours. Son écrit ne permet dès lors pas de comprendre quels points de la décision du 13 février 2020 sont contestés (art. 385 al. 1 let. a CPP), ni les raisons qui commanderaient une autre décision (l'art. 385 let. b CPP).</w:t>
      </w:r>
    </w:p>
    <w:p>
      <w:r>
        <w:rPr>
          <w:b/>
        </w:rPr>
        <w:t>E. 2.4</w:t>
      </w:r>
    </w:p>
    <w:p>
      <w:r>
        <w:t>En conséquence, ne satisfaisant pas aux exigences de forme de l’art. 385 al. 1 CPP, le recours de C.________ doit être déclaré irrecevable conformément à l’art. 385 al.</w:t>
      </w:r>
    </w:p>
    <w:p>
      <w:r>
        <w:rPr>
          <w:b/>
        </w:rPr>
        <w:t>E. 3</w:t>
      </w:r>
    </w:p>
    <w:p>
      <w:r>
        <w:t>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du recourant C.________. III. L’arrêt est exécutoire. Le président :               La greffière : Du Le présent arrêt, dont la rédaction a été approuvée à huis clos, est notifié, par l'envoi d'une copie complète, à : - M. C.________, - Ministère public central, et communiqué à : - Mme la Procureure de l'arrondissement de La Côte, - M. [...], - Mme [...] - Me Coralie Devaud,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