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163 vom 6. Februar 2020</w:t>
      </w:r>
    </w:p>
    <w:p>
      <w:r>
        <w:t>VD Tribunal cantonal, 2020-02-06, FR</w:t>
      </w:r>
    </w:p>
    <w:p>
      <w:r>
        <w:rPr>
          <w:b/>
        </w:rPr>
        <w:t xml:space="preserve">Quelle: </w:t>
      </w:r>
      <w:r>
        <w:t>https://mcp.opencaselaw.ch/entscheid/vd_findinfo_D_cision___2020___163</w:t>
      </w:r>
    </w:p>
    <w:p>
      <w:r>
        <w:t>FR: VD_FINDINFO Décision / 2020 / 163 du 6 février 2020</w:t>
      </w:r>
    </w:p>
    <w:p>
      <w:r>
        <w:t>IT: VD_FINDINFO Décision / 2020 / 163 del 6 febbraio 2020</w:t>
      </w:r>
    </w:p>
    <w:p>
      <w:pPr>
        <w:pStyle w:val="Heading2"/>
      </w:pPr>
      <w:r>
        <w:t>Regeste</w:t>
      </w:r>
    </w:p>
    <w:p>
      <w:r>
        <w:t>DÉNONCIATION CALOMNIEUSE, CLASSEMENT DE LA PROCÉDURE, SUSPENSION DE LA PROCÉDURE, ADMISSION DE LA DEMANDE, DÉCISION EXÉCUTOIRE, CHOSE JUGÉE | 303 CP, 314 al. 1 let. b CPP (CH), 319 al. 1 CPP (CH), 437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 en temps utile auprès de l’autorité compétente et satisfaisant aux conditions de forme prescrites (art. 385 al. 1 CPP), le recours est recevable sous cet angle. Il en est de même des pièces produites par le recourant, dont certaines se trouvaient au surplus déjà au dossier (art. 389 al. 3 CPP ; cf. TF 6B_654/2013 du 31 octobre 2013 consid. 2.2-2.3 ; TF 6B_509/2012 du 22 novembre 2012 consid. 3.2 ; CREP 3 décembre 2018/938 consid. 1 ; CREP 12 mars 2018/186 consid. 1).</w:t>
      </w:r>
    </w:p>
    <w:p>
      <w:r>
        <w:rPr>
          <w:b/>
        </w:rPr>
        <w:t>E. 1.2</w:t>
      </w:r>
    </w:p>
    <w:p>
      <w:r>
        <w:t>La partie plaignante peut attaquer une ordonnance de classement et a donc la qualité pour recourir au sens de l’art. 382 al. 1 CPP, indépendamment de la prise de conclusions civiles (art. 104 al. 1 let. b et 322 al. 2 CPP ; cf. TF 6B_307/2019 du 13 novembre 2019, consid. 2.2.2, destiné à publication). En l’espèce, le recours a été interjeté par la partie plaignante et est donc recevable.</w:t>
      </w:r>
    </w:p>
    <w:p>
      <w:r>
        <w:rPr>
          <w:b/>
        </w:rPr>
        <w:t>E. 2.1</w:t>
      </w:r>
    </w:p>
    <w:p>
      <w:r>
        <w:t>Le recourant fait valoir qu’il est nécessaire de connaître le dénouement de la procédure engagée contre lui avant de pouvoir déterminer si la prévenue remplit les éléments objectifs et subjectifs de l’infraction de dénonciation calomnieuse ou de toute autre infraction contre l’honneur. Il en déduit que le Ministère public ne pouvait pas prononcer un classement, mais devait maintenir la suspension de la présente cause jusqu’à droit connu dans la procédure principale (art. 314 al. 1 let. b CPP).</w:t>
      </w:r>
    </w:p>
    <w:p>
      <w:r>
        <w:rPr>
          <w:b/>
        </w:rPr>
        <w:t>E. 2.2.1</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1B_238/2018 du 5 septembre 2018 consid. 2.1 ; TF 1B_406/2017 du 23 janvier 2018 consid. 2 ; TF 1B_421/2012 du 19 juin 2013 consid. 2.3 ; Cornu, in : Kuhn/Jeanneret [éd.], Commentaire romand, Code de procédure pénale suisse, 2 e éd., Bâle 2019, n. 13 ad art. 314 CPP).</w:t>
      </w:r>
    </w:p>
    <w:p>
      <w:r>
        <w:rPr>
          <w:b/>
        </w:rPr>
        <w:t>E. 2.2.2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L'autorité de recours ne saurait ainsi confirmer un classement au seul motif qu'une condamnation n'apparaît pas plus probable qu'un acquittement (TF 6B_1056/2018 du 29 janvier 2019 consid. 2.2.2 ; TF 6B_874/2017 du 18 avril 2018 consid. 5.1 ; TF 6B_1177/2017 du 16 avril 2018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citées).</w:t>
      </w:r>
    </w:p>
    <w:p>
      <w:r>
        <w:rPr>
          <w:b/>
        </w:rPr>
        <w:t>E. 2.2.3</w:t>
      </w:r>
    </w:p>
    <w:p>
      <w:r>
        <w:t>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 e éd., Bâle 2019, n. 17 ad art. 303 CP). Est considéré comme innocent notamment celui qui a été libéré par jugement d’acquittement ou par le prononcé d’un non-lieu (ATF 136 IV 170 consid. 2.1).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CREP 14 octobre 2019/830 consid. 4.2.1.1 et les références citées). Sur le plan subjectif, l’auteur doit savoir que la personne visée par la dénonciation est innocente, comme c'est le cas pour la calomnie. Le dol éventuel est exclu (Dupuis et al. [éd.], Petit Commentaire du Code pénal, 2 e éd., Bâle 2017, nn. 22-23 ad art. 303 CP ; ATF 136 IV 170 précité consid. 2.1 ; TF 6B_32/2011 du 24 février 2011 consid. 1.1 ; CREP 14 octobre 2019/830, ibidem).</w:t>
      </w:r>
    </w:p>
    <w:p>
      <w:r>
        <w:rPr>
          <w:b/>
        </w:rPr>
        <w:t>E. 2.3</w:t>
      </w:r>
    </w:p>
    <w:p>
      <w:r>
        <w:t>En l’espèce, on ne peut reprocher au recourant de n’avoir pas attaqué la décision de reprise de cause, celle-ci ne pouvant pas fait l’objet d’un recours (cf. art. 315 al. 2 CPP). On peut cependant s’étonner que le Ministère public ait ordonné la reprise de la cause, alors que le motif de suspension subsistait. En effet, le jugement rendu le 16 octobre 2019 par le Tribunal correctionnel de l’arrondissement de La Côte dans la procédure PE19.000226-MYO n’était pas encore entré en force, au sens de l’art. 437 al. 1 CPP. Dans ces conditions, il était prématuré de prononcer la reprise de cause et, a fortiori , de se prononcer sur les éléments objectifs et subjectifs de l’infraction de dénonciation calomnieuse. Il importe ainsi que la présente cause soit à nouveau suspendue jusqu’à droit définitivement connu sur le sort de la procédure PE19.000226-MYO. Les arguments de la procureure, selon lesquels elle se serait fondée sur des critères objectifs, estimant que la cause était en état d’être jugée et faisant valoir que l’ordonnance de classement avait été approuvée par le Procureur général, respectivement son adjoint, n’emportent pas la conviction, et ne changent rien à ce qui précède.</w:t>
      </w:r>
    </w:p>
    <w:p>
      <w:r>
        <w:rPr>
          <w:b/>
        </w:rPr>
        <w:t>E. 3</w:t>
      </w:r>
    </w:p>
    <w:p>
      <w:r>
        <w:t>En définitive, le recours doit être admis et l’ordonnance de classement du 3 décembre 2019 annulée. Le dossier de la cause doit par conséquent être renvoyé au Ministère public de l’arrondissement de l’Est vaudois pour qu’il suspende la procédure jusqu’à droit définitivement connu dans la cause PE19.000226-MYO. Le recourant ayant obtenu gain de cause, les frais de la procédure de recours, constitués du seul émolument d'arrêt, par 990 fr. (art. 20 al. 1 TFIP [tarif des frais de procédure et indemnités en matière pénale du 28 septembre 2010 ; BLV 312.03.1]), seront laissés à la charge de l’Etat (art. 428 al. 4 CPP). Le recourant D.________,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qui sera laissée à la charge de l’Etat. Au vu du mémoire de recours et des écritures produites, cette indemnité peut être fixée à 750 fr., correspondant à 2 heures et 30 minutes d’activité à 300 fr. de l’heure (cf. art. 26a al. 3 TFIP), auxquels s’ajoutent les débours forfaitaires de 2%, par 15 fr. (cf. art. 26b TFIP qui renvoie à l'art. 3 bis RAJ [règlement sur l’assistance judiciaire en matière civile du 7 décembre 2010 ; BLV 211.02.3]), ainsi qu’un montant correspondant à la TVA (cf. par ex. CREP 4 juin 2019/459 consid. 3 ; CREP 3 juin 2019/352) –, par 58 fr. 90. En définitive, il sera alloué à D.________ un montant de 823 fr. 90, à la charge de l’Etat. Par ces motifs, la Chambre des recours pénale prononce : I. Le recours est admis. II. L’ordonnance du 3 décembre 2019 est annulée et le dossier de la cause renvoyé au Ministère public de l’arrondissement de l’Est vaudois afin qu’il procède dans le sens des considérants. III. Une indemnité de 823 fr. 90 (huit cent vingt-trois francs et nonante centimes) est allouée à D.________ pour les dépenses occasionnées par la procédure de recours, à la charge de l’Etat. IV. Les frais d’arrêt, par 990 fr. (neuf cent nonante francs), sont laissés à la charge de l’Etat. V. L’arrêt est exécutoire. Le président :               La greffière : Du Le présent arrêt, dont la rédaction a été approuvée à huis clos, est notifié, par l'envoi d'une copie complète, à : - Me Julien Gafner, avocat (pour D.________), - Me Carola Massatsch, avocate (pour F.________),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