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159 vom 24. Februar 2020</w:t>
      </w:r>
    </w:p>
    <w:p>
      <w:r>
        <w:t>VD Tribunal cantonal, 2020-02-24, FR</w:t>
      </w:r>
    </w:p>
    <w:p>
      <w:r>
        <w:rPr>
          <w:b/>
        </w:rPr>
        <w:t xml:space="preserve">Quelle: </w:t>
      </w:r>
      <w:r>
        <w:t>https://mcp.opencaselaw.ch/entscheid/vd_findinfo_D_cision___2020___159</w:t>
      </w:r>
    </w:p>
    <w:p>
      <w:r>
        <w:t>FR: VD_FINDINFO Décision / 2020 / 159 du 24 février 2020</w:t>
      </w:r>
    </w:p>
    <w:p>
      <w:r>
        <w:t>IT: VD_FINDINFO Décision / 2020 / 159 del 24 febbraio 2020</w:t>
      </w:r>
    </w:p>
    <w:p>
      <w:pPr>
        <w:pStyle w:val="Heading2"/>
      </w:pPr>
      <w:r>
        <w:t>Regeste</w:t>
      </w:r>
    </w:p>
    <w:p>
      <w:r>
        <w:t>COMPORTEMENT IRRESPECTUEUX, DÉCISION D'IRRECEVABILITÉ, MOTIVATION DE LA DEMANDE | 110 al. 4 CPP, 385 al. 2 CPP (CH)</w:t>
      </w:r>
    </w:p>
    <w:p>
      <w:pPr>
        <w:pStyle w:val="Heading2"/>
      </w:pPr>
      <w:r>
        <w:t>Erwägungen</w:t>
      </w:r>
    </w:p>
    <w:p>
      <w:r>
        <w:rPr>
          <w:b/>
        </w:rPr>
        <w:t>E. 1.1</w:t>
      </w:r>
    </w:p>
    <w:p>
      <w:r>
        <w:t>En vertu de l’art. 38 al. 1 LEP (Loi sur l'exécution des condamnations pénales du 4 juillet 2006 ; BLV 340.01), les décisions rendues sur recours par le Service pénitentiaire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38 al. 3 LEP précise qu’en matière de sanctions disciplinaires, les motifs de recours sont limités à ceux fixés aux art. 95 et 97 LTF (Loi fédérale du 17 juin 2005 sur le Tribunal fédéral ; RS 173.110).</w:t>
      </w:r>
    </w:p>
    <w:p>
      <w:r>
        <w:rPr>
          <w:b/>
        </w:rPr>
        <w:t>E. 1.2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rPr>
          <w:b/>
        </w:rPr>
        <w:t>E. 1.3</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fait d'accuser des magistrats d'être des criminels est manifestement outrancier et inconvenant (TF 1B_387/2013 du 1 er novembre 2013 ; CREP 18 février 2019/90).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 TF 6B_933/2015 du 22 juin 2016 consid. 3.1 et 3.3 ; TF 1B_465/2013 du 8 janvier 2014 consid. 2 ; CREP 30 octobre 2019/770).</w:t>
      </w:r>
    </w:p>
    <w:p>
      <w:r>
        <w:rPr>
          <w:b/>
        </w:rPr>
        <w:t>E. 2</w:t>
      </w:r>
    </w:p>
    <w:p>
      <w:r>
        <w:t>En l’espèce, le mémoire de recours ne contient aucune argumentation, le recourant se bornant à clamer son innocence et à se dire otage et victime d’un coup monté. Cet écrit ne permet dès lors pas de comprendre quels points de la décision sont contestés, ni les motifs qui commanderaient une autre décision. Il comporte en outre des propos outranciers et inconvenants à l’égard de la magistrature vaudoise, W.________ accusant notamment le Président du Tribunal cantonal d’abus d’autorité, d’omission de prêter secours, d’organisation criminelle, de lésions corporelles graves intentionnelles et de tentative d’assassinat et le Procureur général du canton de Vaud de prise d’otage, les taxant de surcroît de « criminels de haute volée ». De tels propos sont absolument inadmissibles. Avisé que le contenu de son acte ne répondait pas aux exigences de forme de l’art. 385 al. 1 CPP et qu’il était, de surcroît, inconvenant et menaçant, le recourant a été invité, le 17 février 2020, à le mettre en conformité dans un délai de dix jours. Dans son envoi du 20 février 2020, bien qu’il ait joint à son écriture la décision contestée, le recourant n’a pas corrigé le contenu de son acte daté du 2 février 2020, qu’il a renvoyé tel quel au Président de la Cour de céans, se contentant pour le surplus d’annoter l’avis qui lui avait été adressé le 17 février 2020. Il s’avère donc que le recours n’a pas été rectifié en temps utile.</w:t>
      </w:r>
    </w:p>
    <w:p>
      <w:r>
        <w:rPr>
          <w:b/>
        </w:rPr>
        <w:t>E. 3</w:t>
      </w:r>
    </w:p>
    <w:p>
      <w:r>
        <w:t>Au vu de ce qui précède, l’acte déposé le 6 février 2020 par W.________ est irrecevable.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d’W.________. III. L’arrêt est exécutoire. Le président :               La greffière : Du Le présent arrêt, dont la rédaction a été approuvée à huis clos, est notifié, par l'envoi d'une copie complète, à : - M. W.________, - M. le Procureur général du canton de Vaud, et communiqué à : ‑ Mme la Cheffe du Service pénitentiaire, - Direction des Etablissements de la Plaine de l’Orbe,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