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122 vom 14. Februar 2020</w:t>
      </w:r>
    </w:p>
    <w:p>
      <w:r>
        <w:t>VD Tribunal cantonal, 2020-02-14, FR</w:t>
      </w:r>
    </w:p>
    <w:p>
      <w:r>
        <w:rPr>
          <w:b/>
        </w:rPr>
        <w:t xml:space="preserve">Quelle: </w:t>
      </w:r>
      <w:r>
        <w:t>https://mcp.opencaselaw.ch/entscheid/vd_findinfo_D_cision___2020___122</w:t>
      </w:r>
    </w:p>
    <w:p>
      <w:r>
        <w:t>FR: VD_FINDINFO Décision / 2020 / 122 du 14 février 2020</w:t>
      </w:r>
    </w:p>
    <w:p>
      <w:r>
        <w:t>IT: VD_FINDINFO Décision / 2020 / 122 del 14 febbraio 2020</w:t>
      </w:r>
    </w:p>
    <w:p>
      <w:pPr>
        <w:pStyle w:val="Heading2"/>
      </w:pPr>
      <w:r>
        <w:t>Regeste</w:t>
      </w:r>
    </w:p>
    <w:p>
      <w:r>
        <w:t>TENTATIVE{DROIT PÉNAL}, MEURTRE, TOXICOMANIE, CONSOMMATION DE STUPÉFIANTS, RISQUE DE RÉCIDIVE, RISQUE DE FUITE, DÉTENTION PROVISOIRE | 221 al. 1 let. a CPP (CH)</w:t>
      </w:r>
    </w:p>
    <w:p>
      <w:pPr>
        <w:pStyle w:val="Heading2"/>
      </w:pPr>
      <w:r>
        <w:t>Erwägungen</w:t>
      </w:r>
    </w:p>
    <w:p>
      <w:r>
        <w:rPr>
          <w:b/>
        </w:rPr>
        <w:t>E. 1</w:t>
      </w:r>
    </w:p>
    <w:p>
      <w:r>
        <w:t>Aux termes de l’art. 393 al. 1 let. c CPP (Code de procédure pénale suisse du 5 octobre 2007 ; RS 312.0),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auprès de l’autorité compétente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ne remet à juste titre pas en cause l’existence de soupçons suffisants de culpabilité, qui sont concrets et sérieux. Il prétend en revanche que le risque de fuite retenu par le Tribunal des mesures de contrainte serait infondé. A cet égard, il fait valoir que les membres de sa famille dont il serait vraiment proche seraient sa mère et le compagnon de celle-ci, qui sont domiciliés en Suisse. Il aurait en outre quitté l’Espagne pour échapper aux violences qu’il subissait de son père.</w:t>
      </w:r>
    </w:p>
    <w:p>
      <w:r>
        <w:rPr>
          <w:b/>
        </w:rPr>
        <w:t>E. 3.2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3.3</w:t>
      </w:r>
    </w:p>
    <w:p>
      <w:r>
        <w:t>En l’espèce, la famille du recourant se trouve majoritairement en Espagne, notamment ses oncles du côté maternel, avec qui il a gardé des contacts (P. 86/1). Il a en outre vécu dans ce pays jusqu’à ses 18 ans, étant précisé qu’il est actuellement âgé de 20 ans. Quand bien même il ne souhaiterait pas retourner chez son père, il pourrait facilement loger chez d’autres membres de sa famille. Par ailleurs, son statut de séjour en Suisse est incertain, puisqu’il est titulaire d’un permis L actuellement échu, dont le renouvellement serait en attente du résultat de la procédure pénale. Il ne parle en outre pas français et n’est donc pas intégré en Suisse, en sus du fait qu’il est toxicomane. Il est ainsi à craindre qu’il tente de se soustraire à la procédure pénale, compte tenu des infractions graves dont il est prévenu, en particulier de la tentative de meurtre, ce qui implique qu’il encourt une peine relativement lourde. Partant, les éléments précités sont suffisamment concrets pour retenir l’existence d’un risque de fuite.</w:t>
      </w:r>
    </w:p>
    <w:p>
      <w:r>
        <w:rPr>
          <w:b/>
        </w:rPr>
        <w:t>E. 4.1</w:t>
      </w:r>
    </w:p>
    <w:p>
      <w:r>
        <w:t>Le recourant conteste encore le risque de réitération, se prévalant du fait que le rapport d’expertise retient un risque de récidive modéré et que celui-ci pourrait être réduit grâce à un traitement ambulatoire.</w:t>
      </w:r>
    </w:p>
    <w:p>
      <w:r>
        <w:rPr>
          <w:b/>
        </w:rPr>
        <w:t>E. 4.2</w:t>
      </w:r>
    </w:p>
    <w:p>
      <w:r>
        <w:t>En vertu de l'art. 221 al. 1 let. c CPP, la détention provisoire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w:t>
      </w:r>
    </w:p>
    <w:p>
      <w:r>
        <w:rPr>
          <w:b/>
        </w:rPr>
        <w:t>E. 4.3</w:t>
      </w:r>
    </w:p>
    <w:p>
      <w:r>
        <w:t>En l’espèce, il convient en premier lieu de relever que le recourant a été condamné le 15 février 2019 par le Tribunal pénal de Malaga à une peine privative de liberté ferme d’une durée de neuf mois pour des faits de violence conjugale commis le 16 novembre 2017, assortie d’une mesure de privation du droit de détenir et de porter une arme pendant deux ans. Interrogé sur cette précédente condamnation, le recourant admet qu’il a pu user de violence à l’encontre de son ex-copine, celle-ci l’ayant trompé, mais il explique que « lors des faits, il avait consommé beaucoup de drogues » (PV aud. du 30 septembre 2019, ll 126 à 128). C’est dire que le recourant a déjà commis des infractions contre l’intégrité corporelle, et que les faits qui lui sont présentement reprochés représentent une tendance à l’aggravation. L’expert a évalué le risque de récidive comme étant modéré « avec la mise en place d’un programme de gestion des facteurs de risque » (P. 77 p. 11). Or, ces facteurs de risque sont les suivants : présence d’un trouble addictologique, désinsertion professionnelle, incapacité à s’engager dans un soin jusqu’alors, absence de projet de vie réaliste, étant précisé que ces risques sont dominés par ceux en lien avec ses consommations toxicomanes, soit la recherche de produits et d’argent pour se fournir, le trafic et les violences périphériques (P. 77 p. 11). Ce n’est donc que si les risques retenus par l’expert sont « gérés » par un « programme » que le risque de récidive peut être modéré. A contrario , si tel n’est pas le cas, le risque demeure élevé. A ce stade, il n’est pas possible de considérer qu’un traitement ambulatoire soit suffisant pour diminuer le risque de récidive, dès lors que le recourant continue à consommer des stupéfiants en milieu carcéral, ce qui est prédicteur d’une rechute rapide, à dire d’expert (P. 77 p. 10). Du reste, l’expert préconise d’abord un traitement des addictions dans un centre spécialisé (ibid.). Compte tenu du fait que c’est l’intégrité de la vie qui a été mise en jeu, à savoir le bien juridique le plus précieux, il convient que toutes les garanties soient mises en place pour éviter que la sécurité d’autrui soit sérieusement compromise, ce qui n’est présentement pas le cas. Au vu de ce qui précède, les conditions de la détention provisoire sont remplies.</w:t>
      </w:r>
    </w:p>
    <w:p>
      <w:r>
        <w:rPr>
          <w:b/>
        </w:rPr>
        <w:t>E. 5.1</w:t>
      </w:r>
    </w:p>
    <w:p>
      <w:r>
        <w:t>A titre subsidiaire, le recourant propose la mise en place de mesures de substitution à la détention, à savoir l’obligation de suivre un traitement ambulatoire et de se soumettre à des tests d’abstinence à l’alcool et a ux stupéfiants, l’assignation à résidence garantie par un contrôle par la police ainsi qu’une surveillance électronique, la fourniture de sûretés, soit le dépôt d’une caution, le dépôt des pièces d’identité et l’obligation de se présenter à un service administratif.</w:t>
      </w:r>
    </w:p>
    <w:p>
      <w:r>
        <w:rPr>
          <w:b/>
        </w:rPr>
        <w:t>E. 5.2.1</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La jurisprudence admet que le risque de fuite ne peut être pallié par le dépôt des documents d'identité ou par l'assignation à résidence puisque cela ne peut empêcher l'intéressé de passer la frontière, au vu du peu de difficulté à quitter la Suisse sans papiers (TF 1B_28/2019 du 8 février 2019 consid. 2.2 ; TF 1B_496/2018 du 21 novembre 2018 consid. 4.2 ; TF 1B_386/2015 du 18 novembre 2015 consid. 2.4 ; TF 1B_513/2012 du 2 octobre 2012 consid. 3.3 et les références citées). Il en va de même de l'obligation de se présenter à un service administratif, qui n'est pas de nature à empêcher une personne dans la situation du recourant de s'enfuir à l'étranger, mais permet uniquement de constater la fuite, après sa survenance (TF 1B_545/2017 du 18 janvier 2018 consid. 3.2 ; TF 1B_386/2015 du 18 novembre 2015 consid. 2.4). Quant à la surveillance électronique, elle ne constitue pas en soi une mesure de substitution mais uniquement un moyen de contrôler l'exécution de telles mesures : s'il apparaît d'emblée que ces mesures ne sont pas aptes à prévenir le risque de fuite, la surveillance électronique ne saurait être mise en œuvre (TF 1B_496/2018 précité consid. 4.2 ; TF 1B_513/2012 du 2 octobre 2012 consid. 3.3 ; TF 1B_447/2011 du 21 septembre 2011 consid. 3.4).</w:t>
      </w:r>
    </w:p>
    <w:p>
      <w:r>
        <w:rPr>
          <w:b/>
        </w:rPr>
        <w:t>E. 5.2.2</w:t>
      </w:r>
    </w:p>
    <w:p>
      <w:r>
        <w:t>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(ATF 143 IV 168 consid. 5.1 ; TF 1B_23/2019 du 28 janvier 2019 consid. 2.1). Il convient d'accorder une attention particulière à cette limite, car il y a lieu de veiller à ce que les autorités de jugement ne prennent pas en considération dans la fixation de la peine la durée de la détention avant jugement à imputer selon l'art. 51 CP (ATF 133 I 168 consid. 4.1 ; TF 1B_23/2019 du 28 janvier 2019 consid. 2.1).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143 IV 168 consid. 5.1 ; TF 1B_23/2019 du 28 janvier 2019 consid. 2.1). Pour entrer en considération sur cette dernière hypothèse, son octroi doit être d'emblée évident (TF 1B_23/2019 du 28 janvier 2019 consid. 2.1 et les références citées).</w:t>
      </w:r>
    </w:p>
    <w:p>
      <w:r>
        <w:rPr>
          <w:b/>
        </w:rPr>
        <w:t>E. 5.3</w:t>
      </w:r>
    </w:p>
    <w:p>
      <w:r>
        <w:t>En l’espèce, les mesures de substitution proposées ne sont pas de nature à pallier le risque de fuite. Comme déjà dit, les contrôles, notamment par un bracelet électronique, ne sont que rétroactifs ; de même, l’assignation à résidence et le dépôt de documents d’identité ne sont pas de nature à empêcher le recourant de quitter le territoire suisse pour un pays limitrophe ; quant au dépôt des sûretés, comme l’a retenu à juste titre le premier juge, sans être contredit sur ce point par le recourant, le montant de 3'000 fr. qui serait versé par sa mère ou l’ami de celle-ci n’est pas dissuasif. Par ailleurs, comme indiqué précédemment, un traitement ambulatoire est à lui-même insuffisant à parer le risque de récidive ; quant au fait que le recourant pourrait travailler à sa sortie de détention, le premier juge a retenu que l’offre d’embauche du 13 janvier 2020 qu’il a présentée n’était pas déterminante, dans la mesure où une telle activité structurante supposerait qu’il recouvre son permis L, ce qui n’était pas acquis. Le recourant ne présente aucun argument à cet égard et n’expose en particulier pas comment, compte tenu des circonstances, il pourrait obtenir une nouvelle autorisation de court séjour L. Au demeurant, l’expert préconise, pour limiter le risque de récidive, un traitement des addictions dans un centre spécialisé dans un premier temps. Il n’envisage dès lors pas que le recourant puisse d’emblée, et sans risque pour la sécurité d’autrui, reprendre un quelconque travail. En ce qui concerne la proportionnalité de la détention provisoire, le recourant est détenu depuis le 2 juillet 2019. Selon le Ministère public, le dépôt de l’acte d’accusation est imminent et ainsi, les débats devraient être fixés prochainement et le jugement intervenir dans un délai raisonnable. Au vu de la gravité des faits reprochés au recourant, prévenu à ce stade notamment de tentative de meurtre, celui-ci s’expose concrètement à une peine privative de liberté supérieure à la période de détention provisoire supputée jusqu’à l’audience de jugement à intervenir, étant précisé que la détention provisoire a été ordonnée jusqu’au 2 avril 2020 au plus tard. Partant, le principe de la proportionnalité est toujours respecté (art. 212 al. 3 CPP).</w:t>
      </w:r>
    </w:p>
    <w:p>
      <w:r>
        <w:rPr>
          <w:b/>
        </w:rPr>
        <w:t>E. 6</w:t>
      </w:r>
    </w:p>
    <w:p>
      <w:r>
        <w:t>Il résulte de ce qui précède que le recours, manifestement mal fondé, doit être rejeté sans échange d'écritures (art. 390 al. 2 CPP) et l'ordonnance du 3 février 2020 confirmée. Les frais de la procédure de recours, constitués en l'espèce du seul émolument d'arrêt, par 1’430 fr. (art. 20 al. 1 TFIP [tarif des frais de procédure et indemnités en matière pénale du 28 septembre 2010 ; BLV 312.03.1]), seront mis à la charge du recourant H.________, qui succombe (art. 428 al. 1 CPP). Le recourant n’ayant pas procédé par l’intermédiaire de son défenseur d’office, aucune indemnité ne peut lui être allouée pour la procédure de recours. Le défenseur d’office du recourant ayant demandé à être relevé de sa mission, ce que la Procureure a admis sans toutefois désigner un autre défenseur, le présent arrêt sera notifié au recourant personnellement. Par ces motifs, la Chambre des recours pénale prononce : I. Le recours est rejeté. II. L’ordonnance du 3 février 2020 est confirmée. III. Les frais d’arrêt, par 1’430 fr. (mille quatre cent trente francs), sont mis à la charge du recourant H.________. IV. L’arrêt est exécutoire. Le président :               La greffière : Du Le présent arrêt, dont la rédaction a été approuvée à huis clos, est notifié, par l'envoi d'une copie complète, à : - H.________, - Ministère public central, et communiqué à : - M. le président du Tribunal des mesures de contrainte,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