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116 vom 14. Februar 2020</w:t>
      </w:r>
    </w:p>
    <w:p>
      <w:r>
        <w:t>VD Tribunal cantonal, 2020-02-14, FR</w:t>
      </w:r>
    </w:p>
    <w:p>
      <w:r>
        <w:rPr>
          <w:b/>
        </w:rPr>
        <w:t xml:space="preserve">Quelle: </w:t>
      </w:r>
      <w:r>
        <w:t>https://mcp.opencaselaw.ch/entscheid/vd_findinfo_D_cision___2020___116</w:t>
      </w:r>
    </w:p>
    <w:p>
      <w:r>
        <w:t>FR: VD_FINDINFO Décision / 2020 / 116 du 14 février 2020</w:t>
      </w:r>
    </w:p>
    <w:p>
      <w:r>
        <w:t>IT: VD_FINDINFO Décision / 2020 / 116 del 14 febbraio 2020</w:t>
      </w:r>
    </w:p>
    <w:p>
      <w:pPr>
        <w:pStyle w:val="Heading2"/>
      </w:pPr>
      <w:r>
        <w:t>Regeste</w:t>
      </w:r>
    </w:p>
    <w:p>
      <w:r>
        <w:t>CLASSEMENT DE LA PROCÉDURE, INDEMNITÉ{EN GÉNÉRAL}, FRAIS{EN GÉNÉRAL}, VOL{DROIT PÉNAL} | 139 CP, 319 CPP (CH), 426 al. 2 CPP (CH), 433 al. 1 CPP(CH)</w:t>
      </w:r>
    </w:p>
    <w:p>
      <w:pPr>
        <w:pStyle w:val="Heading2"/>
      </w:pPr>
      <w:r>
        <w:t>Erwägungen</w:t>
      </w:r>
    </w:p>
    <w:p>
      <w:r>
        <w:rPr>
          <w:b/>
        </w:rPr>
        <w:t>E. 5.1</w:t>
      </w:r>
    </w:p>
    <w:p>
      <w:r>
        <w:t>Le recourant conteste la quotité de l’indemnité octroyée aux plaignants pour les dépenses occasionnées par la procédure et mise à sa charge, en considérant que le montant de 17'500 fr. 95 qui leur a été alloué par la Procureure est excessif.</w:t>
      </w:r>
    </w:p>
    <w:p>
      <w:r>
        <w:rPr>
          <w:b/>
        </w:rPr>
        <w:t>E. 5.2.1</w:t>
      </w:r>
    </w:p>
    <w:p>
      <w:r>
        <w:t>A teneur de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Code de procédure pénale, Petit commentaire, 2 e éd., Bâle 2016, n. 7 ad art. 433 CPP).</w:t>
      </w:r>
    </w:p>
    <w:p>
      <w:r>
        <w:rPr>
          <w:b/>
        </w:rPr>
        <w:t>E. 5.2.2</w:t>
      </w:r>
    </w:p>
    <w:p>
      <w:r>
        <w:t>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francs (al. 4).</w:t>
      </w:r>
    </w:p>
    <w:p>
      <w:r>
        <w:rPr>
          <w:b/>
        </w:rPr>
        <w:t>E. 5.3</w:t>
      </w:r>
    </w:p>
    <w:p>
      <w:r>
        <w:t>En l’espèce, cette indemnité est justifiée sur le principe, ce qui n’est d’ailleurs pas contesté par le recourant. Il n’en reste pas moins que la Procureure a alloué à Me Jean‑Philippe Heim une indemnité totale de 17'500 fr. 95, sur la base de la liste des opérations produite par celui-ci comptabilisant plus de 69 heures d’activité (soit 12 heures de travail d’avocat à un tarif horaire de 400 fr. et 57 heures de travail d’avocat stagiaire à un tarif horaire de 220 fr. ou 250 fr.) – de laquelle 3 heures et 30 minutes ont été retranchées en tant qu’elles concernaient des opérations relatives au dépôt de plainte du recourant –, alors que le défenseur du recourant, impliqué dans la même procédure, a demandé et obtenu 4'201 fr. 40 (21 heures au tarif horaire du défenseur d’office de 180 fr., plus 121 fr. de débours et 300 fr. 40 de TVA). On constate ainsi une différence importante de quantité d’heures facturées par les conseils respectifs des parties. Un examen de la liste des opérations produite par le conseil des plaignants laisse apparaître de nombreuses anomalies, dont notamment la facturation d’opérations qui ne sont pas afférentes à la présente procédure. En effet, outre les 3 heures et 30 minutes susmentionnées qui concernaient une autre affaire (PE18.000241‑VWT), y figurent également des opérations relatives au recours formé le 23 janvier 2018 par les plaignants contre l’ordonnance de non‑entrée en matière rendue le 10 janvier 2018 par le Ministère public de l’arrondissement de la Côte qui ont d’ores et déjà fait l’objet d’une indemnité allouée par la Cour de céans dans son arrêt du 15 février 2018 (n° 116), à hauteur de 2'958 fr. 33 pour 12 heures et 50 minutes. D’ailleurs, dans leurs déterminations du 13 février 2020, les plaignants ont reconnu qu’il s’agissait d’une « erreur comptable ». En outre, on observe une quotité d’heures excessive pour certaines opérations. En effet, un nombre important de postes concerne le même acte ou la même opération, mais comptée plusieurs fois sous « projet », « relecture », « discussion », « modification », « correction » ou encore « finalisation ». Ainsi, pour la rédaction d’un courrier du 26 avril 2019, d’une longueur de 3,5 pages et dont le contenu reprend en grande partie celui de ses précédents écrits, le conseil des plaignants a facturé un montant, excessif, de 1'575 fr. pour une durée totale de 6h15. Il en va de même notamment de la rédaction d’une lettre de 5 pages adressée le 3 septembre 2018 au Ministère public de l’arrondissement de Lausanne – qui reprend de nombreux éléments que le conseil des plaignants a déjà développé, que ce soit dans le courrier de ces derniers du 2 juillet 2018 au Ministère public de l’arrondissement de La Côte, leur plainte du 18 décembre 2017 ou leur recours du 23 janvier 2018 –, qui est facturée 1'316 fr. 67 pour une durée de 5h10. S’agissant de la préparation de l’audition du recourant qui a eu lieu le 27 juin 2018, la liste des opérations fait état d’un total de 12h30. Une telle quotité est excessive s’agissant d’une simple préparation d’audition devant le procureur, ce d’autant plus qu’elle a duré moins de 20 minutes, et même si les faits auraient pu être abordés plus largement si le prévenu avait accepté de répondre. Par ailleurs, quatre opérations des 2 et 3 mai 2018 – facturées 401 fr. 67 pour 1h25 – ont trait à des contacts avec des journalistes et doivent être retranchées, celles-ci ne devant pas être indemnisées dans le cadre de la présente procédure pénale. Au vu de l’ensemble de ces éléments, il convient donc de réduire les honoraires à 23 heures d’activité, à savoir 4 heures pour Me Jean‑Philippe Heim et 19 heures pour ses avocats stagiaires. En outre, le tarif horaire appliqué pour les opérations effectuées est également excessif et doit être réduit à 300 fr. pour l’avocat breveté – compte tenu de la complexité relative de la cause justifiant l’application d’un tarif horaire supérieur au seuil minimal, mais inférieur au seuil maximal réservé aux affaires les plus complexes – et à 160 fr. pour les avocats stagiaires (art. 26a TFIP). L'indemnité allouée aux plaignants pour l’exercice raisonnable de leurs droits de procédure est par consé­quent fixée à 5'261 fr. 65, à savoir 1'200 fr. (4h x 300 fr./h) d’honoraires d’avocat, plus 3'040 fr. (19h x 160 fr./h) d’honoraires d’avocats stagiaires, plus 645 fr. 45 de débours – soit ceux annoncés dans la liste des opérations produite –, plus 376 fr. 20 de TVA. Sur ce point, le recours doit être admis.</w:t>
      </w:r>
    </w:p>
    <w:p>
      <w:r>
        <w:rPr>
          <w:b/>
        </w:rPr>
        <w:t>E. 6</w:t>
      </w:r>
    </w:p>
    <w:p>
      <w:r>
        <w:t>Il résulte de ce qui précède que le recours doit être partiellement admis et l’ordonnance entreprise réformée au chiffre IV de son dispositif en ce sens que le recourant doit immédiat paiement aux intimés de la somme de 5'261 fr. 65 à titre d’indemnité pour les dépenses obligatoires occasionnées par la procédure (cf. consid. 5.3 supra). Aucune indemnité ne sera allouée aux intimés de ce chef, leurs déterminations portant seulement sur la liste des opérations produite par leur conseil, le moyen du recourant étant d’ailleurs admis. Les frais de la procédure de recours sont constitués en l’espèce de l'émolument d'arrêt (art. 422 al. 1 CPP), par 2'090 fr. (art. 20 al. 1 TFIP), et des frais imputables à la défense d’office (art. 422 al. 1 et 2 let. a CPP), fixés à 720 fr. – soit 4 heures d’activité à 180 fr., étant précisé que l’acte de recours comporte de nombreux passages inutiles, en particulier des allégués de fait s’étendant sur neuf pages –, auxquels il convient d’ajouter des débours forfaitaires à concurrence de 2%, par 14 fr. 40, plus la TVA, par 56 fr. 55, soit à 790 fr. 95 au total. Ils seront mis à la charge du recourant, respectivement à celle des intimés, dans la mesure où les parties succombent (art. 428 al. 1 CPP), soit à raison des trois quarts pour le premier et d’un quart pour les seconds, solidairement entre eux. Néanmoins, considérant que le CPP ne contient aucune base légale permettant de fonder la mise à la charge des parties plaignantes des frais de défense d'office du prévenu (TF 6B_369/2018 du 7 février 2019 consid. 5.2), seul l’émolument d’arrêt sera mis à la charge des parties selon la proportion susmentionnée, les frais de défense d’office du prévenu devant être laissés à la charge de l’Etat. Par ces motifs, la Chambre des recours pénale prononce : I. Le recours est partiellement admis. II. L’ordonnance du 8 novembre 2019 est réformée au chiffre IV de son dispositif comme il suit : IV. dit que R.________ doit immédiat paiement à D.G.________ et B.G.________ de la somme de 5'261 fr. 65 (cinq mille deux cent soixante et un francs et soixante-cinq centimes), à titre d’indemnité pour les dépenses obligatoires occasionnées par la procédure. L’ordonnance est confirmée pour le surplus. III. Les frais d’arrêt, par 2'090 fr. (deux mille nonante francs), sont mis par trois quarts, soit 1'567 fr. 50 (mille cinq cent soixante-sept francs et cinquante centimes), à la charge de R.________ et par un quart, soit 522 fr. 50 (cinq cent vingt-deux francs et cinquante centimes), à la charge de D.G.________ et B.G.________, solidairement entre eux. IV. L’indemnité allouée au défenseur d’office de R.________ est fixée à 790 fr. 95 (sept cent nonante francs et nonante-cinq centimes), à la charge de l’Etat. V. L’arrêt est exécutoire. Le président :               Le greffier : Du Le présent arrêt, dont la rédaction a été approuvée à huis clos, est notifié, par l'envoi d'une copie complète, à : - Me Patrick Michod, avocat (pour R.________), - Me Jean-Philippe Heim, avocat (pour B.G.________ et D.G.________),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